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VO-ID212845 (Brandenburg) — In-Kraft-Treten, Außer-Kraft-Treten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treten außer Kraft:</w:t>
      </w:r>
    </w:p>
    <w:p>
      <w:r>
        <w:t xml:space="preserve">der Beschluss des Bezirkstages Potsdam vom 20. Juli 1966 über die</w:t>
      </w:r>
    </w:p>
    <w:p>
      <w:r>
        <w:t xml:space="preserve">Ausweisung des Landschaftsschutzgebietes</w:t>
      </w:r>
    </w:p>
    <w:p>
      <w:r>
        <w:t xml:space="preserve">„Neuruppin-Rheinsberg-Fürstenberger Wald- und</w:t>
      </w:r>
    </w:p>
    <w:p>
      <w:r>
        <w:t xml:space="preserve">Seengebiet“ für die Gebietsteile im Landkreis</w:t>
      </w:r>
    </w:p>
    <w:p>
      <w:r>
        <w:t xml:space="preserve">Ostprignitz-Ruppin und für die Gebietsteile der Gemarkungen</w:t>
      </w:r>
    </w:p>
    <w:p>
      <w:r>
        <w:t xml:space="preserve">Baumgarten, Meseberg und Schönermark im Amt Gransee des Landkreises</w:t>
      </w:r>
    </w:p>
    <w:p>
      <w:r>
        <w:t xml:space="preserve">Oberhavel;</w:t>
      </w:r>
    </w:p>
    <w:p>
      <w:r>
        <w:t xml:space="preserve">der Beschluss des Bezirkstages Potsdam vom 20. Juli 1966 über die</w:t>
      </w:r>
    </w:p>
    <w:p>
      <w:r>
        <w:t xml:space="preserve">Ausweisung des Landschaftsschutzgebietes „Sewekow“.</w:t>
      </w:r>
    </w:p>
    <w:p>
      <w:r>
        <w:t xml:space="preserve">Potsdam, den 10. Dezember 2002</w:t>
      </w:r>
    </w:p>
    <w:p>
      <w:r>
        <w:rPr>
          <w:color w:val="555555"/>
          <w:sz w:val="17"/>
        </w:rPr>
        <w:t xml:space="preserve">Zitiervorschlag: § 11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