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VO-ID212845 (Brandenburg) — Geltendmachen von Rechtsmängeln</w:t>
      </w:r>
    </w:p>
    <w:p>
      <w:r>
        <w:rPr>
          <w:color w:val="555555"/>
          <w:sz w:val="18"/>
        </w:rPr>
        <w:t xml:space="preserve">Verordnung über das Landschaftsschutzgebiet „Ruppiner Wald- und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Eine Verletzung von Vorschriften des Brandenburgischen Naturschutzgesetzes</w:t>
      </w:r>
    </w:p>
    <w:p>
      <w:r>
        <w:t xml:space="preserve">oder anderer Rechtsvorschriften kann gegen diese Verordnung nur innerhalb von</w:t>
      </w:r>
    </w:p>
    <w:p>
      <w:r>
        <w:t xml:space="preserve">zwei Jahren nach ihrer Verkündung geltend gemacht werden (§ 47 Abs. 1</w:t>
      </w:r>
    </w:p>
    <w:p>
      <w:r>
        <w:t xml:space="preserve">Nr. 2 und Abs. 2 der Verwaltungsgerichtsordnung in Verbindung mit § 4 Abs.</w:t>
      </w:r>
    </w:p>
    <w:p>
      <w:r>
        <w:t xml:space="preserve">1 des Brandenburgischen Verwaltungsgerichtsgesetzes).</w:t>
      </w:r>
    </w:p>
    <w:p>
      <w:r>
        <w:rPr>
          <w:color w:val="555555"/>
          <w:sz w:val="17"/>
        </w:rPr>
        <w:t xml:space="preserve">Zitiervorschlag: § 10 VO-ID212845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https://recht.nulegal.eu/gesetze/VO-ID212845/10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