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VO-ID212845 (Brandenburg) — Erklärung zum Schutzgebiet</w:t>
      </w:r>
    </w:p>
    <w:p>
      <w:r>
        <w:rPr>
          <w:color w:val="555555"/>
          <w:sz w:val="18"/>
        </w:rPr>
        <w:t xml:space="preserve">Verordnung über das Landschaftsschutzgebiet „Ruppiner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in den</w:t>
      </w:r>
    </w:p>
    <w:p>
      <w:r>
        <w:t xml:space="preserve">Landkreisen Ostprignitz-Ruppin und Oberhavel werden als Landschaftsschutzgebiet</w:t>
      </w:r>
    </w:p>
    <w:p>
      <w:r>
        <w:t xml:space="preserve">festgesetzt. Das Landschaftsschutzgebiet trägt die Bezeichnung</w:t>
      </w:r>
    </w:p>
    <w:p>
      <w:r>
        <w:t xml:space="preserve">„Ruppiner Wald- und Seengebiet“.</w:t>
      </w:r>
    </w:p>
    <w:p>
      <w:r>
        <w:rPr>
          <w:color w:val="555555"/>
          <w:sz w:val="17"/>
        </w:rPr>
        <w:t xml:space="preserve">Zitiervorschlag: § 1 VO-ID212845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