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VO-ID212844 (Brandenburg) — Verhältnis zu anderen naturschutzrechtlichen Bestimmungen</w:t>
      </w:r>
    </w:p>
    <w:p>
      <w:r>
        <w:rPr>
          <w:color w:val="555555"/>
          <w:sz w:val="18"/>
        </w:rPr>
        <w:t xml:space="preserve">Verordnung über das Landschaftsschutzgebiet „Krumme Spree“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Erlass von Pflegeplänen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für den Bereich des Landschaftsschutzgebietes weitergehende naturschutzrechtliche Vorschriften bestehen, bleiben diese unberührt. Insbesondere gelten fort:</w:t>
      </w:r>
    </w:p>
    <w:p>
      <w:r>
        <w:t xml:space="preserve">Beschluss des Rates des Kreises Beeskow vom 31. Juli 1974 über das Flächennaturdenkmal „Reiherkolonie Werder“;</w:t>
      </w:r>
    </w:p>
    <w:p>
      <w:r>
        <w:t xml:space="preserve">Beschluss des Rates des Kreises Beeskow vom 31. Juli 1974 über die Naturdenkmale</w:t>
      </w:r>
    </w:p>
    <w:p>
      <w:r>
        <w:t xml:space="preserve">„Wildbirne“ an der Feld-Wiesen-Grenze unmittelbar hinter den Lehmgruben in Richtung Trebatsch in der Gemarkung Briescht,</w:t>
      </w:r>
    </w:p>
    <w:p>
      <w:r>
        <w:t xml:space="preserve">„Königsfarn“ in den Forstabteilungen 4555 am Teufelsbogen und 4557 an der Wiesenkante in der Gemarkung Briescht,</w:t>
      </w:r>
    </w:p>
    <w:p>
      <w:r>
        <w:t xml:space="preserve">„7 Stieleichen“ am Weg Kossenblatt -Plattkow auf dem Zigeunerberg;</w:t>
      </w:r>
    </w:p>
    <w:p>
      <w:r>
        <w:t xml:space="preserve">Beschluss des Rates des Kreises Beeskow vom 24. April 1985 über das Flächennaturdenkmal „Eichenbestand bei Rocher“.</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26b des Bundesnaturschutzgesetzes, §§ 37 bis 43 des Brandenburgischen Naturschutzgesetzes) unberührt.</w:t>
      </w:r>
    </w:p>
    <w:p>
      <w:r>
        <w:rPr>
          <w:color w:val="555555"/>
          <w:sz w:val="17"/>
        </w:rPr>
        <w:t xml:space="preserve">Zitiervorschlag: § 9 VO-ID212844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