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VO-ID212844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„Krumme Spree“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Maßnahmen als Zielvorgabe für die Pflege und Entwicklung des Gebietes festgelegt:</w:t>
      </w:r>
    </w:p>
    <w:p>
      <w:r>
        <w:t xml:space="preserve">die Grünlandbewirtschaftung soll nach Möglichkeit zur Förderung naturnaher Lebensgemeinschaften der Wiesen und Weiden sowie naturnaher Uferstrukturen extensiv erfolgen;</w:t>
      </w:r>
    </w:p>
    <w:p>
      <w:r>
        <w:t xml:space="preserve">Kopfweiden sollen als Brutmöglichkeiten für gefährdete Vogelarten und als traditionelle landschaftsgestaltende Elemente gepflegt und neu gepflanzt werden.</w:t>
      </w:r>
    </w:p>
    <w:p>
      <w:r>
        <w:rPr>
          <w:color w:val="555555"/>
          <w:sz w:val="17"/>
        </w:rPr>
        <w:t xml:space="preserve">Zitiervorschlag: § 6 VO-ID212844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