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VO-ID212844 (Brandenburg) — Zulässige Handlungen</w:t>
      </w:r>
    </w:p>
    <w:p>
      <w:r>
        <w:rPr>
          <w:color w:val="555555"/>
          <w:sz w:val="18"/>
        </w:rPr>
        <w:t xml:space="preserve">Verordnung über das Landschaftsschutzgebiet „Krumme Spree“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bleiben zulässig:</w:t>
      </w:r>
    </w:p>
    <w:p>
      <w:r>
        <w:t xml:space="preserve">die im Sinne des § 11 Abs. 2 des Brandenburgischen Naturschutzgesetzes ordnungsgemäße landwirtschaftliche Bodennutzung auf den rechtmäßig dafür genutzten Flächen mit der Maßgabe, dass § 4 Abs. 2 Nr. 7 gilt;</w:t>
      </w:r>
    </w:p>
    <w:p>
      <w:r>
        <w:t xml:space="preserve">die im Sinne des § 11 Abs. 3 des Brandenburgischen Naturschutzgesetzes ordnungsgemäße forstwirtschaftliche Bodennutzung auf den rechtmäßig dafür genutzten Flächen;</w:t>
      </w:r>
    </w:p>
    <w:p>
      <w:r>
        <w:t xml:space="preserve">die rechtmäßige Ausübung der Jagd;</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w:t>
      </w:r>
    </w:p>
    <w:p>
      <w:r>
        <w:t xml:space="preserve">die ordnungsgemäße Unterhaltung der Gewässer im Benehmen mit der unteren Naturschutzbehörde;</w:t>
      </w:r>
    </w:p>
    <w:p>
      <w:r>
        <w:t xml:space="preserve">die Anlage und Änderung von Straßen und Wegen im Rahmen von Bodenordnungs- oder Flurneuordnungsverfahren im Einvernehmen mit der gemäß § 17 Abs. 2 des Brandenburgischen Naturschutzgesetzes zuständigen Naturschutzbehörde sowie die ordnungsgemäße Unterhaltung der rechtmäßig bestehenden Anlagen einschließlich der dem öffentlichen Verkehr gewidmeten Straßen und Wege im Benehmen mit der unteren Naturschutzbehörde;</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 die von der zuständigen Naturschutzbehörde angeordnet worden sind;</w:t>
      </w:r>
    </w:p>
    <w:p>
      <w:r>
        <w:t xml:space="preserve">Maßnahmen zur Untersuchung von Altlast-Verdachtsflächen und Altlasten sowie Maßnahmen der Altlastensanierung im Benehmen mit der unteren Naturschutzbehörde;</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der Modernisierung, Instandsetzung sowie der notwendigen Anpassung der Infrastruktur an umweltgesetzliche Erfordernisse auf räumlich abgegrenzten landwirtschaftlichen Betriebsstandorten, die als solche im Liegenschaftskataster bezeichnet sind. Soweit diese Maßnahmen eine Errichtung beziehungsweise Erweiterung von Baukörpern, die einer öffentlich rechtlichen Genehmigung oder Anzeige bedürfen, darstellen, ist das Einvernehmen mit der unteren Naturschutzbehörde erforderlich;</w:t>
      </w:r>
    </w:p>
    <w:p>
      <w:r>
        <w:t xml:space="preserve">Maßnahmen, die der Abwendung einer unmittelbar drohenden Gefahr für die öffentliche Sicherheit und Ordnung dienen. Die untere Naturschutzbehörde ist über die getroffenen Maßgaben unverzüglich zu unterrichten. Sie kann nachträglich ergänzende Anordnungen zur Vereinbarkeit mit dem Schutzzweck treffen.</w:t>
      </w:r>
    </w:p>
    <w:p>
      <w:r>
        <w:t xml:space="preserve">(2) Die in § 4 Abs. 1 dieser Verordnung für das Befahren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des Landeswaldgesetzes bleibt unberührt.</w:t>
      </w:r>
    </w:p>
    <w:p>
      <w:r>
        <w:rPr>
          <w:color w:val="555555"/>
          <w:sz w:val="17"/>
        </w:rPr>
        <w:t xml:space="preserve">Zitiervorschlag: § 5 VO-ID212844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