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VO-ID212844 (Brandenburg) — Verbote, Genehmigungsvorbehalte</w:t>
      </w:r>
    </w:p>
    <w:p>
      <w:r>
        <w:rPr>
          <w:color w:val="555555"/>
          <w:sz w:val="18"/>
        </w:rPr>
        <w:t xml:space="preserve">Verordnung über das Landschaftsschutzgebiet „Krumme Spree“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Landschaftsschutzgebiet gemäß § 22 Abs. 3 des Brandenburgischen Naturschutzgesetzes folgende Handlungen verboten:</w:t>
      </w:r>
    </w:p>
    <w:p>
      <w:r>
        <w:t xml:space="preserve">die alten Flussmäander mit Wasserfahrzeugen aller Art zu befahren, soweit diese nicht Bestandteil des für den durchgehenden Verkehr bestimmten Hauptwasserlaufs sind; ausgenommen ist das Befahren des Altarms in Höhe der Ortslage Werder und des Altarms an der Brieschter Straßenbrücke von dessen Einmündung in die Hauptspree bis zum Rastplatz;</w:t>
      </w:r>
    </w:p>
    <w:p>
      <w:r>
        <w:t xml:space="preserve">außerhalb öffentlich-rechtlich zugelassener oder gekennzeichneter Plätze oder rechtmäßig bestehender Stege Wasserfahrzeuge aller Art ein- oder auszusetzen; dies gilt nicht für die Siedlungsbereiche.</w:t>
      </w:r>
    </w:p>
    <w:p>
      <w:r>
        <w:t xml:space="preserve">(2) Sonstige Handlungen, die geeignet sind, den Charakter des Gebietes zu verändern, den Naturhaushalt zu schädigen, das Landschaftsbild zu verunstalten, den Naturgenuss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oder Werbeanlagen aufzustellen oder anzubringen, ausgenommen zur saisonalen Direktvermarktung landwirtschaftlicher Produkte;</w:t>
      </w:r>
    </w:p>
    <w:p>
      <w:r>
        <w:t xml:space="preserve">Straßen, Wege, Plätze oder sonstige Verkehrseinrichtungen anzulegen, Leitungen zu verlegen oder solche Anlagen wesentlich zu verändern;</w:t>
      </w:r>
    </w:p>
    <w:p>
      <w:r>
        <w:t xml:space="preserve">außerhalb öffentlich-rechtlich zugelassener oder gekennzeichneter Plätze sowie von Hausgärten Wohnwagen aufzustellen, zu zelten oder zu lagern;</w:t>
      </w:r>
    </w:p>
    <w:p>
      <w:r>
        <w:t xml:space="preserve">Veranstaltungen mit motorbetriebenen Fahrzeugen durchzuführen;</w:t>
      </w:r>
    </w:p>
    <w:p>
      <w:r>
        <w:t xml:space="preserve">Grünland in eine andere Nutzungsart zu überführen.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