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VO-ID212843 (Brandenburg) — Zulässige Handlungen</w:t>
      </w:r>
    </w:p>
    <w:p>
      <w:r>
        <w:rPr>
          <w:color w:val="555555"/>
          <w:sz w:val="18"/>
        </w:rPr>
        <w:t xml:space="preserve">Verordnung über das Landschaftsschutzgebiet „Fürstenberger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Entgegen § 4 bleiben zulässig:</w:t>
      </w:r>
    </w:p>
    <w:p>
      <w:r>
        <w:t xml:space="preserve">die im Sinne des § 11 Abs. 2 des Brandenburgischen Naturschutzgesetzes</w:t>
      </w:r>
    </w:p>
    <w:p>
      <w:r>
        <w:t xml:space="preserve">ordnungsgemäße landwirtschaftliche Bodennutzung auf den</w:t>
      </w:r>
    </w:p>
    <w:p>
      <w:r>
        <w:t xml:space="preserve">rechtmäßig dafür genutzten Flächen mit der Maßgabe,</w:t>
      </w:r>
    </w:p>
    <w:p>
      <w:r>
        <w:t xml:space="preserve">daß § 4 Abs. 1 sowie § 4 Abs. 2 Nr. 6 gelten;</w:t>
      </w:r>
    </w:p>
    <w:p>
      <w:r>
        <w:t xml:space="preserve">die im Sinne des § 11 Abs. 3 des Brandenburgischen Naturschutzgesetzes</w:t>
      </w:r>
    </w:p>
    <w:p>
      <w:r>
        <w:t xml:space="preserve">ordnungsgemäße forstwirtschaftliche Bodennutzung auf den</w:t>
      </w:r>
    </w:p>
    <w:p>
      <w:r>
        <w:t xml:space="preserve">rechtmäßig dafür genutzten Flächen mit der Maßgabe,</w:t>
      </w:r>
    </w:p>
    <w:p>
      <w:r>
        <w:t xml:space="preserve">daß</w:t>
      </w:r>
    </w:p>
    <w:p>
      <w:r>
        <w:t xml:space="preserve">§ 4 Abs. 1 Nr. 3 gilt,</w:t>
      </w:r>
    </w:p>
    <w:p>
      <w:r>
        <w:t xml:space="preserve">Höhlenbäume erhalten bleiben;</w:t>
      </w:r>
    </w:p>
    <w:p>
      <w:r>
        <w:t xml:space="preserve">für den Bereich der Jagd:</w:t>
      </w:r>
    </w:p>
    <w:p>
      <w:r>
        <w:t xml:space="preserve">die rechtmäßige Ausübung der Jagd,</w:t>
      </w:r>
    </w:p>
    <w:p>
      <w:r>
        <w:t xml:space="preserve">die Errichtung von Ansitzleitern und Kanzeln, soweit das charakteristische</w:t>
      </w:r>
    </w:p>
    <w:p>
      <w:r>
        <w:t xml:space="preserve">Landschaftsbild nicht beeinträchtigt wird und für diese nur</w:t>
      </w:r>
    </w:p>
    <w:p>
      <w:r>
        <w:t xml:space="preserve">Materialien verwendet werden, die sich in das Landschaftsbild einfügen;</w:t>
      </w:r>
    </w:p>
    <w:p>
      <w:r>
        <w:t xml:space="preserve">die im Sinne des § 11 Abs. 4 des Brandenburgischen Naturschutzgesetzes</w:t>
      </w:r>
    </w:p>
    <w:p>
      <w:r>
        <w:t xml:space="preserve">in Verbindung mit § 1 Abs. 1 und 2 des Fischereigesetzes für das Land</w:t>
      </w:r>
    </w:p>
    <w:p>
      <w:r>
        <w:t xml:space="preserve">Brandenburg ordnungsgemäße fischereiwirtschaftliche</w:t>
      </w:r>
    </w:p>
    <w:p>
      <w:r>
        <w:t xml:space="preserve">Flächennutzung sowie die Angelfischerei auf den rechtmäßig</w:t>
      </w:r>
    </w:p>
    <w:p>
      <w:r>
        <w:t xml:space="preserve">dafür genutzten Flächen mit der Maßgabe, daß</w:t>
      </w:r>
    </w:p>
    <w:p>
      <w:r>
        <w:t xml:space="preserve">Fanggeräte und Fangmittel so einzusetzen oder auszustatten sind,</w:t>
      </w:r>
    </w:p>
    <w:p>
      <w:r>
        <w:t xml:space="preserve">daß ein Einschwimmen und eine Gefährdung des Fischotters weitgehend</w:t>
      </w:r>
    </w:p>
    <w:p>
      <w:r>
        <w:t xml:space="preserve">ausgeschlossen ist,</w:t>
      </w:r>
    </w:p>
    <w:p>
      <w:r>
        <w:t xml:space="preserve">§ 4 Abs. 1 Nr. 1 für die Ausübung der Angelfischerei gilt;</w:t>
      </w:r>
    </w:p>
    <w:p>
      <w:r>
        <w:t xml:space="preserve">die ordnungsgemäße Unterhaltung der Gewässer im Benehmen</w:t>
      </w:r>
    </w:p>
    <w:p>
      <w:r>
        <w:t xml:space="preserve">mit der unteren Naturschutzbehörde und mit der Maßgabe, daß</w:t>
      </w:r>
    </w:p>
    <w:p>
      <w:r>
        <w:t xml:space="preserve">Maßnahmen zeitlich und räumlich derart durchzuführen sind,</w:t>
      </w:r>
    </w:p>
    <w:p>
      <w:r>
        <w:t xml:space="preserve">daß ein vielfältiger und standortgerechter Pflanzen- und Tierbestand</w:t>
      </w:r>
    </w:p>
    <w:p>
      <w:r>
        <w:t xml:space="preserve">erhalten bleibt oder sich neu entwickeln kann,</w:t>
      </w:r>
    </w:p>
    <w:p>
      <w:r>
        <w:t xml:space="preserve">bei erforderlichen Wasserbaumaßnahmen möglichst natürliche</w:t>
      </w:r>
    </w:p>
    <w:p>
      <w:r>
        <w:t xml:space="preserve">Baustoffe und ingenieurbiologische Methoden verwendet werden;</w:t>
      </w:r>
    </w:p>
    <w:p>
      <w:r>
        <w:t xml:space="preserve">die Anlage und Änderung von Straßen und Wegen im Rahmen von</w:t>
      </w:r>
    </w:p>
    <w:p>
      <w:r>
        <w:t xml:space="preserve">Bodenordnungs- oder Flurneuordnungsverfahren im Einvernehmen mit der</w:t>
      </w:r>
    </w:p>
    <w:p>
      <w:r>
        <w:t xml:space="preserve">gemäß § 17 Abs. 2 des Brandenburgischen Naturschutzgesetzes</w:t>
      </w:r>
    </w:p>
    <w:p>
      <w:r>
        <w:t xml:space="preserve">zuständigen Naturschutzbehörde sowie die ordnungsgemäße</w:t>
      </w:r>
    </w:p>
    <w:p>
      <w:r>
        <w:t xml:space="preserve">Unterhaltung der rechtmäßig bestehenden Anlagen einschließlich</w:t>
      </w:r>
    </w:p>
    <w:p>
      <w:r>
        <w:t xml:space="preserve">der dem öffentlichen Verkehr gewidmeten Straßen und Wege im Benehmen</w:t>
      </w:r>
    </w:p>
    <w:p>
      <w:r>
        <w:t xml:space="preserve">mit der unteren Naturschutzbehörde;</w:t>
      </w:r>
    </w:p>
    <w:p>
      <w:r>
        <w:t xml:space="preserve">die sonstigen bei Inkrafttreten dieser Verordnung aufgrund</w:t>
      </w:r>
    </w:p>
    <w:p>
      <w:r>
        <w:t xml:space="preserve">behördlicher Einzelfallentscheidung rechtmäßig ausgeübten</w:t>
      </w:r>
    </w:p>
    <w:p>
      <w:r>
        <w:t xml:space="preserve">Nutzungen und Befugnisse in der bisherigen Art und im bisherigen Umfang;</w:t>
      </w:r>
    </w:p>
    <w:p>
      <w:r>
        <w:t xml:space="preserve">Maßnahmen zur Untersuchung von Altlast-Verdachtsflächen und</w:t>
      </w:r>
    </w:p>
    <w:p>
      <w:r>
        <w:t xml:space="preserve">Maßnahmen der Altlastensanierung im Benehmen mit der unteren</w:t>
      </w:r>
    </w:p>
    <w:p>
      <w:r>
        <w:t xml:space="preserve">Naturschutzbehörde;</w:t>
      </w:r>
    </w:p>
    <w:p>
      <w:r>
        <w:t xml:space="preserve">Schutz-, Pflege- und Entwicklungsmaßnahmen, die von der</w:t>
      </w:r>
    </w:p>
    <w:p>
      <w:r>
        <w:t xml:space="preserve">zuständigen Naturschutzbehörde angeordnet worden sind;</w:t>
      </w:r>
    </w:p>
    <w:p>
      <w:r>
        <w:t xml:space="preserve">behördliche sowie behördlich angeordnete oder zugelassene</w:t>
      </w:r>
    </w:p>
    <w:p>
      <w:r>
        <w:t xml:space="preserve">Beschilderungen, soweit sie auf den Schutzzweck des Gebietes hinweisen oder als</w:t>
      </w:r>
    </w:p>
    <w:p>
      <w:r>
        <w:t xml:space="preserve">hoheitliche Kennzeichnungen, Orts- oder Verkehrshinweise, Wegemarkierungen oder</w:t>
      </w:r>
    </w:p>
    <w:p>
      <w:r>
        <w:t xml:space="preserve">Warntafeln dienen;</w:t>
      </w:r>
    </w:p>
    <w:p>
      <w:r>
        <w:t xml:space="preserve">Maßnahmen, die zur ordnungsgemäßen Gestaltung der</w:t>
      </w:r>
    </w:p>
    <w:p>
      <w:r>
        <w:t xml:space="preserve">Nachbetriebsphase und Stillegung des Kernkraftwerkes Rheinsberg notwendig sind,</w:t>
      </w:r>
    </w:p>
    <w:p>
      <w:r>
        <w:t xml:space="preserve">zur Verwahrung von und zum Umgang mit den beim Rückbau anfallenden</w:t>
      </w:r>
    </w:p>
    <w:p>
      <w:r>
        <w:t xml:space="preserve">radioaktiven Stoffen sowie alle Maßnahmen zur Anlage- und</w:t>
      </w:r>
    </w:p>
    <w:p>
      <w:r>
        <w:t xml:space="preserve">Umgebungsüberwachung;</w:t>
      </w:r>
    </w:p>
    <w:p>
      <w:r>
        <w:t xml:space="preserve">Handlungen nach § 4 Abs. 1 Nr. 1 und Abs. 2 Nr. 8 in</w:t>
      </w:r>
    </w:p>
    <w:p>
      <w:r>
        <w:t xml:space="preserve">rechtmäßig bestehenden Baumschulen, Gärten, Friedhöfen,</w:t>
      </w:r>
    </w:p>
    <w:p>
      <w:r>
        <w:t xml:space="preserve">Park- und Gartenanlagen;</w:t>
      </w:r>
    </w:p>
    <w:p>
      <w:r>
        <w:t xml:space="preserve">Maßnahmen der Modernisierung, Instandsetzung sowie der notwendigen</w:t>
      </w:r>
    </w:p>
    <w:p>
      <w:r>
        <w:t xml:space="preserve">Anpassung der Infrastruktur an umweltgesetzliche Erfordernisse auf</w:t>
      </w:r>
    </w:p>
    <w:p>
      <w:r>
        <w:t xml:space="preserve">räumlich abgegrenzten landwirtschaftlichen Betriebsstandorten, die als</w:t>
      </w:r>
    </w:p>
    <w:p>
      <w:r>
        <w:t xml:space="preserve">solche im Liegenschaftskataster bezeichnet sind. Soweit diese Maßnahmen</w:t>
      </w:r>
    </w:p>
    <w:p>
      <w:r>
        <w:t xml:space="preserve">eine Errichtung beziehungsweise Erweiterung von Baukörpern, die einer</w:t>
      </w:r>
    </w:p>
    <w:p>
      <w:r>
        <w:t xml:space="preserve">öffentlich-rechtlichen Genehmigung oder Anzeige bedürfen, darstellen,</w:t>
      </w:r>
    </w:p>
    <w:p>
      <w:r>
        <w:t xml:space="preserve">ist das Einvernehmen mit der unteren Naturschutzbehörde erforderlich;</w:t>
      </w:r>
    </w:p>
    <w:p>
      <w:r>
        <w:t xml:space="preserve">Maßnahmen im Rahmen einer gedenkstättenbezogenen Nutzung der</w:t>
      </w:r>
    </w:p>
    <w:p>
      <w:r>
        <w:t xml:space="preserve">Mahn- und Gedenkstätte Ravensbrück im Benehmen mit der unteren</w:t>
      </w:r>
    </w:p>
    <w:p>
      <w:r>
        <w:t xml:space="preserve">Naturschutzbehörde;</w:t>
      </w:r>
    </w:p>
    <w:p>
      <w:r>
        <w:t xml:space="preserve">Maßnahmen, die der Abwehr einer unmittelbar drohenden Gefahr für</w:t>
      </w:r>
    </w:p>
    <w:p>
      <w:r>
        <w:t xml:space="preserve">die öffentliche Sicherheit und Ordnung dienen. Die untere</w:t>
      </w:r>
    </w:p>
    <w:p>
      <w:r>
        <w:t xml:space="preserve">Naturschutzbehörde ist über die getroffenen Maßnahmen</w:t>
      </w:r>
    </w:p>
    <w:p>
      <w:r>
        <w:t xml:space="preserve">unverzüglich zu unterrichten. Sie kann hinsichtlich der Art und Weise der</w:t>
      </w:r>
    </w:p>
    <w:p>
      <w:r>
        <w:t xml:space="preserve">Durchführung der Maßnahmen Anordnungen zur Vereinbarkeit mit dem</w:t>
      </w:r>
    </w:p>
    <w:p>
      <w:r>
        <w:t xml:space="preserve">Schutzzweck treffen.</w:t>
      </w:r>
    </w:p>
    <w:p>
      <w:r>
        <w:t xml:space="preserve">(2) Die in § 4 Abs. 2 Nr. 7 dieser Verordnung für das Befahren</w:t>
      </w:r>
    </w:p>
    <w:p>
      <w:r>
        <w:t xml:space="preserve">und Betreten des Landschaftsschutzgebietes enthaltenen Einschränkungen</w:t>
      </w:r>
    </w:p>
    <w:p>
      <w:r>
        <w:t xml:space="preserve">gelten nicht für die Dienstkräfte der Naturschutzbehörden, die</w:t>
      </w:r>
    </w:p>
    <w:p>
      <w:r>
        <w:t xml:space="preserve">zuständigen Naturschutzhelfer und sonstige von den</w:t>
      </w:r>
    </w:p>
    <w:p>
      <w:r>
        <w:t xml:space="preserve">Naturschutzbehörden beauftragte Personen sowie für Dienstkräfte</w:t>
      </w:r>
    </w:p>
    <w:p>
      <w:r>
        <w:t xml:space="preserve">und beauftragte Personen anderer zuständiger Behörden und</w:t>
      </w:r>
    </w:p>
    <w:p>
      <w:r>
        <w:t xml:space="preserve">Einrichtungen und die von ihnen beauftragten Personen, soweit diese in</w:t>
      </w:r>
    </w:p>
    <w:p>
      <w:r>
        <w:t xml:space="preserve">Wahrnehmung ihrer gesetzlichen Aufgaben handeln. Der Genehmigungsvorbehalt nach</w:t>
      </w:r>
    </w:p>
    <w:p>
      <w:r>
        <w:t xml:space="preserve">§ 19 Abs. 3 Satz 2 des Landeswaldgesetzes bleibt unberührt.</w:t>
      </w:r>
    </w:p>
    <w:p>
      <w:r>
        <w:rPr>
          <w:color w:val="555555"/>
          <w:sz w:val="17"/>
        </w:rPr>
        <w:t xml:space="preserve">Zitiervorschlag: § 5 VO-ID212843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https://recht.nulegal.eu/gesetze/VO-ID212843/5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