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VO-ID212843 (Brandenburg) — Schutzgegenstand</w:t>
      </w:r>
    </w:p>
    <w:p>
      <w:r>
        <w:rPr>
          <w:color w:val="555555"/>
          <w:sz w:val="18"/>
        </w:rPr>
        <w:t xml:space="preserve">Verordnung über das Landschaftsschutzgebiet „Fürstenberger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</w:t>
      </w:r>
    </w:p>
    <w:p>
      <w:r>
        <w:t xml:space="preserve">rund 45 631 Hektar. Es liegt im Norden des Landkreises Oberhavel und</w:t>
      </w:r>
    </w:p>
    <w:p>
      <w:r>
        <w:t xml:space="preserve">umfaßt Teile der Landschaftseinheiten des Neustrelitzer Kleinseenlands im</w:t>
      </w:r>
    </w:p>
    <w:p>
      <w:r>
        <w:t xml:space="preserve">Norden, der Granseer Platte im Süden und der Templiner Platte, der</w:t>
      </w:r>
    </w:p>
    <w:p>
      <w:r>
        <w:t xml:space="preserve">Schorfheide und der Zehdenick-Spandauer Havelniederung im Osten.</w:t>
      </w:r>
    </w:p>
    <w:p>
      <w:r>
        <w:t xml:space="preserve">(2) Das Landschaftsschutzgebiet umfaßt ganz oder</w:t>
      </w:r>
    </w:p>
    <w:p>
      <w:r>
        <w:t xml:space="preserve">teilweise Flure der Gemarkungen Altglobsow, Altlüdersdorf, Altthymen,</w:t>
      </w:r>
    </w:p>
    <w:p>
      <w:r>
        <w:t xml:space="preserve">Barsdorf, Blumenow, Bredereiche, Buchholz, Burgwall, Burow, Dannenwalde,</w:t>
      </w:r>
    </w:p>
    <w:p>
      <w:r>
        <w:t xml:space="preserve">Dollgow, Fürstenberg, Großwoltersdorf, Himmelpfort, Kurtschlag,</w:t>
      </w:r>
    </w:p>
    <w:p>
      <w:r>
        <w:t xml:space="preserve">Marienthal, Menz, Mildenberg, Neuglobsow, Neulögow, Ribbeck, Schulzendorf,</w:t>
      </w:r>
    </w:p>
    <w:p>
      <w:r>
        <w:t xml:space="preserve">Seilershof, Steinförde, Tornow, Vogelsang, Wesendorf, Wolfsruh,</w:t>
      </w:r>
    </w:p>
    <w:p>
      <w:r>
        <w:t xml:space="preserve">Zabelsdorf, Zehdenick, Zernikow und Zootzen. Eine Kartenskizze zur Orientierung</w:t>
      </w:r>
    </w:p>
    <w:p>
      <w:r>
        <w:t xml:space="preserve">über die Lage des Landschaftsschutzgebietes ist dieser Verordnung als</w:t>
      </w:r>
    </w:p>
    <w:p>
      <w:r>
        <w:t xml:space="preserve">Anlage 1 beigefügt.</w:t>
      </w:r>
    </w:p>
    <w:p>
      <w:r>
        <w:t xml:space="preserve">(3) Die Grenze des Landschaftsschutzgebietes ist in den in</w:t>
      </w:r>
    </w:p>
    <w:p>
      <w:r>
        <w:t xml:space="preserve">Anlage 2 dieser Verordnung aufgeführten Karten mit ununterbrochener roter</w:t>
      </w:r>
    </w:p>
    <w:p>
      <w:r>
        <w:t xml:space="preserve">Linie eingezeichnet; als Grenze gilt der innere Rand dieser Linie. Die in</w:t>
      </w:r>
    </w:p>
    <w:p>
      <w:r>
        <w:t xml:space="preserve">Anlage 2 Nr. 1 dieser Verordnung aufgeführte topographische</w:t>
      </w:r>
    </w:p>
    <w:p>
      <w:r>
        <w:t xml:space="preserve">Übersichtskarte im Maßstab 1 : 100 000 dient der räumlichen</w:t>
      </w:r>
    </w:p>
    <w:p>
      <w:r>
        <w:t xml:space="preserve">Einordnung des Landschaftsschutzgebietes. Die Verortung im Gelände</w:t>
      </w:r>
    </w:p>
    <w:p>
      <w:r>
        <w:t xml:space="preserve">ermöglichen die in Anlage 2 Nr. 2 aufgeführten 16 topografischen</w:t>
      </w:r>
    </w:p>
    <w:p>
      <w:r>
        <w:t xml:space="preserve">Karten im Maßstab 1:25 000 und die in Anlage 2 Nr. 3 aufgeführte</w:t>
      </w:r>
    </w:p>
    <w:p>
      <w:r>
        <w:t xml:space="preserve">topografische Karte im Maßstab 1:10 000. Maßgeblich für den</w:t>
      </w:r>
    </w:p>
    <w:p>
      <w:r>
        <w:t xml:space="preserve">Grenzverlauf ist die Einzeichnung in den in Anlage 2 Nr. 4 aufgeführten</w:t>
      </w:r>
    </w:p>
    <w:p>
      <w:r>
        <w:t xml:space="preserve">Flurkarten und den in Anlage 2 Nr. 5 aufgeführten Liegenschaftskarten und,</w:t>
      </w:r>
    </w:p>
    <w:p>
      <w:r>
        <w:t xml:space="preserve">soweit Flur- bzw. Liegenschaftskarten im Bereich der Ortslage Fürstenberg</w:t>
      </w:r>
    </w:p>
    <w:p>
      <w:r>
        <w:t xml:space="preserve">nicht vorhanden sind, in der topografischen Karte im Maßstab 1:10 000.</w:t>
      </w:r>
    </w:p>
    <w:p>
      <w:r>
        <w:t xml:space="preserve">(4) Die Verordnung mit Karten kann beim Ministerium für</w:t>
      </w:r>
    </w:p>
    <w:p>
      <w:r>
        <w:t xml:space="preserve">Umwelt, Naturschutz und Raumordnung des Landes Brandenburg, oberste</w:t>
      </w:r>
    </w:p>
    <w:p>
      <w:r>
        <w:t xml:space="preserve">Naturschutzbehörde, in Potsdam sowie beim Landkreis Oberhavel, untere</w:t>
      </w:r>
    </w:p>
    <w:p>
      <w:r>
        <w:t xml:space="preserve">Naturschutzbehörde, von jedermann während der Dienstzeiten kostenlos</w:t>
      </w:r>
    </w:p>
    <w:p>
      <w:r>
        <w:t xml:space="preserve">eingesehen werden.</w:t>
      </w:r>
    </w:p>
    <w:p>
      <w:r>
        <w:rPr>
          <w:color w:val="555555"/>
          <w:sz w:val="17"/>
        </w:rPr>
        <w:t xml:space="preserve">Zitiervorschlag: § 2 VO-ID212843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