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VO-ID212842 (Brandenburg) — Inkrafttreten, Außerkrafttreten</w:t>
      </w:r>
    </w:p>
    <w:p>
      <w:r>
        <w:rPr>
          <w:color w:val="555555"/>
          <w:sz w:val="18"/>
        </w:rPr>
        <w:t xml:space="preserve">Verordnung über das Landschaftsschutzgebiet „Brandenburgische Elbtalaue“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Tage nach ihrer Verkündung in Kraft.</w:t>
      </w:r>
    </w:p>
    <w:p>
      <w:r>
        <w:t xml:space="preserve">(2) Mit Inkrafttreten dieser Verordnung treten außer Kraft:</w:t>
      </w:r>
    </w:p>
    <w:p>
      <w:r>
        <w:t xml:space="preserve">der Beschluß Nr. 89 des Bezirkstages Schwerin vom 15. Mai 1990 über die Festlegung des Landschaftsschutzgebietes "Mecklenburgisches Elbetal" für die im Land Brandenburg liegenden Flächen;</w:t>
      </w:r>
    </w:p>
    <w:p>
      <w:r>
        <w:t xml:space="preserve">der Beschluß Nr. 53 des Rates des Bezirkes Schwerin vom 15. Februar 1960 über die Erklärung des Landschaftsteils Rambower- und Rudower See zum Landschaftsschutzgebiet;</w:t>
      </w:r>
    </w:p>
    <w:p>
      <w:r>
        <w:t xml:space="preserve">der Beschluß Nr. 60 des Rates des Bezirkes Schwerin vom 25. Februar 1964 über die Erklärung des Landschaftsteils Gebiet um Bad Wilsnack zum Landschaftsschutzgebiet.</w:t>
      </w:r>
    </w:p>
    <w:p>
      <w:r>
        <w:t xml:space="preserve">Potsdam, den 25. September 1998</w:t>
      </w:r>
    </w:p>
    <w:p>
      <w:r>
        <w:t xml:space="preserve">Der Minister für Umwelt, Naturschutz und Raumordnung</w:t>
      </w:r>
    </w:p>
    <w:p>
      <w:r>
        <w:t xml:space="preserve">Matthias Platzeck</w:t>
      </w:r>
    </w:p>
    <w:p>
      <w:r>
        <w:t xml:space="preserve">Anm.: Die Anlage 1 wurde nicht aufgenommen.</w:t>
      </w:r>
    </w:p>
    <w:p>
      <w:r>
        <w:rPr>
          <w:color w:val="555555"/>
          <w:sz w:val="17"/>
        </w:rPr>
        <w:t xml:space="preserve">Zitiervorschlag: § 11 VO-ID212842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https://recht.nulegal.eu/gesetze/VO-ID212842/11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