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VO-ID212839 (Brandenburg) — Zulässige Handlungen</w:t>
      </w:r>
    </w:p>
    <w:p>
      <w:r>
        <w:rPr>
          <w:color w:val="555555"/>
          <w:sz w:val="18"/>
        </w:rPr>
        <w:t xml:space="preserve">Verordnung über das Landschaftsschutzgebiet „Barnimer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1, 3 und 4 sowie § 4 Abs. 2 Nr. 7 und 8 gelten,</w:t>
      </w:r>
    </w:p>
    <w:p>
      <w:r>
        <w:t xml:space="preserve">§ 4 Abs. 1 Nr. 2 gilt, wobei eine Bewirtschaftung von Niedermooren entsprechend den Moortypen (Norm-, Mulm-,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 mit der Maßgabe, daß § 4 Abs. 1 Nr. 1 und 3 gelten;</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nur Materialien verwendet werden, die sich in das Landschaftsbild einfügen;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w:t>
      </w:r>
    </w:p>
    <w:p>
      <w:r>
        <w:t xml:space="preserve">§ 4 Abs. 1 Nr. 3 gilt,</w:t>
      </w:r>
    </w:p>
    <w:p>
      <w:r>
        <w:t xml:space="preserve">§ 4 Abs. 2 Nr. 9 für die Angelfischerei gilt;</w:t>
      </w:r>
    </w:p>
    <w:p>
      <w:r>
        <w:t xml:space="preserve">die ordnungsgemäße Unterhaltung der Gewässer im Benehmen mit der unteren Naturschutzbehörde mit der Maßgabe, daß</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nach Inkrafttreten dieser Verordnung im Benehmen mit der unteren Naturschutzbehörde wasserrechtlich zugelassene Gewässerbenutzungen;</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die Nachrüstung bestehender landwirtschaftlicher Anlagen, soweit sie nach dem Bundesimmissionsschutzgesetz bis zum 30. Juni 1999 erforderlich ist;</w:t>
      </w:r>
    </w:p>
    <w:p>
      <w:r>
        <w:t xml:space="preserve">Handlungen nach § 4 Abs. 1 Nr. 4 und Abs. 2 Nr. 8 in rechtmäßig bestehenden Gärten, Baumschulen, Friedhöfen, Park- und Gartenanlagen und auf forstwissenschaftlichen Versuchsflächen;</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unteren Naturschutzbehörde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die Durchführung von Untersuchungsmaßnahmen sowie von Maßnahmen zur Sicherung des bergschadengefährdeten Gebietes westlich der Landstraße von Hohenfinow nach Cöthen im Einvernehmen mit der unteren Naturschutzbehörde. Der Herstellung des Einvernehmens bedarf es nicht, soweit es sich um unaufschiebbare Maßnahmen der Gefahrenabwehr handelt;</w:t>
      </w:r>
    </w:p>
    <w:p>
      <w:r>
        <w:t xml:space="preserve">Maßnahmen in der Gemarkung Finow, Flur 18, Flurstücke 154 und 155, die zur Gewährleistung der Flugsicherung des Flugplatzes Finow erforderlich sind, einschließlich der Errichtung baulicher Anlagen;</w:t>
      </w:r>
    </w:p>
    <w:p>
      <w:r>
        <w:t xml:space="preserve">kulturelle Veranstaltungen auf dem Gelände der Freilichtbühne, des Tierparkes sowie des Forstbotanischen Gartens der Stadt Eberswalde;</w:t>
      </w:r>
    </w:p>
    <w:p>
      <w:r>
        <w:t xml:space="preserve">die Nutzung von Flächen, die nach § 38 Abs. 1 Nr. 1 des Bundesnaturschutzgesetzes ausschließlich oder überwiegend den Zwecken der Landesverteidigung dienen.</w:t>
      </w:r>
    </w:p>
    <w:p>
      <w:r>
        <w:t xml:space="preserve">(2) Die in § 4 Abs. 2 dieser Verordnung für das Befahren und Betreten des Landschaftsschutzgebietes enthaltenen Einschränkungen gelten nicht für die Dienstkräfte der Naturschutzbehörden, die zuständigen Naturschutzhelfer und sonstige von den Naturschutzbehörden beauftragte Personen sowie für Dienstkräfte anderer zuständiger Behörden und Einrichtungen und die von ihnen beauftragten Personen, soweit diese in Wahrnehmung ihrer gesetzlichen Aufgaben handeln. Der Genehmigungsvorbehalt nach § 19 Abs. 3 Landeswaldgesetz bleibt unberührt.</w:t>
      </w:r>
    </w:p>
    <w:p>
      <w:r>
        <w:rPr>
          <w:color w:val="555555"/>
          <w:sz w:val="17"/>
        </w:rPr>
        <w:t xml:space="preserve">Zitiervorschlag: § 5 VO-ID212839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