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VO-ID212838 (Brandenburg) — Zulässige Handlungen</w:t>
      </w:r>
    </w:p>
    <w:p>
      <w:r>
        <w:rPr>
          <w:color w:val="555555"/>
          <w:sz w:val="18"/>
        </w:rPr>
        <w:t xml:space="preserve">Verordnung über das Landschaftsschutzgebiet „Diedersdorfer Heide und Großbeerener 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2 und § 4 Abs. 2 Nr. 9 und 10 gelten,</w:t>
      </w:r>
    </w:p>
    <w:p>
      <w:r>
        <w:t xml:space="preserve">§ 4 Abs. 1 Nr. 1 gilt, wobei eine Bewirtschaftung von Niedermooren entsprechend den Moortypen (Norm-, Mulm-,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nur Materialien verwendet werden, die sich in das Landschaftsbild einfügen;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 Fanggeräte und Fangmittel so einzusetzen oder auszustatten sind, daß ein Einschwimmen und eine Gefährdung des Fischotters weitgehend ausgeschlossen ist;</w:t>
      </w:r>
    </w:p>
    <w:p>
      <w:r>
        <w:t xml:space="preserve">die sonstigen bei Inkrafttreten dieser Verordnung aufgrund behördlicher Einzelfallentscheidung rechtmäßig ausgeübten Nutzungen und Befugnisse in der bisherigen Art und im bisherigen Umfang;</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w:t>
      </w:r>
    </w:p>
    <w:p>
      <w:r>
        <w:t xml:space="preserve">die Wiedervernässung der Rieselfeldertafeln sowie die dazu erforderlichen Begleitmaßnahmen im Einvernehmen mit der unteren Naturschutzbehörde;</w:t>
      </w:r>
    </w:p>
    <w:p>
      <w:r>
        <w:t xml:space="preserve">Maßnahmen zur Untersuchung von Altlast-Verdachtsflächen und Maßnahmen der Altlastsanierung im Einvernehmen mit der unteren Naturschutzbehörde. Der Herstellung des Einvernehmens bedarf es nicht, soweit es sich um unaufschiebbare Maßnahmen handelt;</w:t>
      </w:r>
    </w:p>
    <w:p>
      <w:r>
        <w:t xml:space="preserve">die Nachrüstung bestehender landwirtschaftlicher Anlagen, soweit sie nach dem Bundesimmissionsschutzgesetz bis zum 30. Juni 1999 erforderlich ist;</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Handlungen nach § 4 Abs. 1 Nr. 2 und Abs. 2 Nr. 10 in rechtmäßig bestehenden Baumschulen, Gärten, Friedhöfen, Park- und Gartenanlagen;</w:t>
      </w:r>
    </w:p>
    <w:p>
      <w:r>
        <w:t xml:space="preserve">Schutz-, Pflege- und Entwicklungsmaßnahmen, die von der zuständigen Naturschutzbehörde angeordnet worden sind;</w:t>
      </w:r>
    </w:p>
    <w:p>
      <w:r>
        <w:t xml:space="preserve">behördlich angeordnete oder zugelassene Beschilderungen;</w:t>
      </w:r>
    </w:p>
    <w:p>
      <w:r>
        <w:t xml:space="preserve">die im Sinne des § 38 Abs. 1 Nr. 1 des Bundesnaturschutzgesetzes bestimmungsgemäße Nutzung der Bundeswehrliegenschaft "Blankenfelde" zu Zwecken der Landesverteidigung einschließlich des Schutzes der Zivilbevölkerung, sowie die zur Aufrechterhaltung und Sicherung der militärischen Nutzung erforderlichen Tätigkeiten, Maßnahmen und Einrichtungen.</w:t>
      </w:r>
    </w:p>
    <w:p>
      <w:r>
        <w:rPr>
          <w:color w:val="555555"/>
          <w:sz w:val="17"/>
        </w:rPr>
        <w:t xml:space="preserve">Zitiervorschlag: § 5 VO-ID212838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