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VO-ID212838 (Brandenburg) — Schutzzweck</w:t>
      </w:r>
    </w:p>
    <w:p>
      <w:r>
        <w:rPr>
          <w:color w:val="555555"/>
          <w:sz w:val="18"/>
        </w:rPr>
        <w:t xml:space="preserve">Verordnung über das Landschaftsschutzgebiet „Diedersdorfer Heide und Großbeerener 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und Wiederherstellung der Leistungsfähigkeit des Naturhaushaltes in bezug auf</w:t>
      </w:r>
    </w:p>
    <w:p>
      <w:r>
        <w:t xml:space="preserve">die Funktionsfähigkeit der Böden durch die Sicherung und Förderung der natürlichen Vielfalt an Bodeneigenschaften sowie den Schutz des Bodens vor Überbauung, Verdichtung, Abbau und Erosion,</w:t>
      </w:r>
    </w:p>
    <w:p>
      <w:r>
        <w:t xml:space="preserve">die Funktionsfähigkeit des Wasserhaushaltes durch die Sicherung und Wiederherstellung einer unbeeinträchtigten Grundwasserneubildung sowie einer naturnahen Entwicklung der Standgewässer, Fließgewässer und ihrer angrenzenden Uferbereiche und Verlandungszonen,</w:t>
      </w:r>
    </w:p>
    <w:p>
      <w:r>
        <w:t xml:space="preserve">die Reinhaltung und Verbesserung der Luft sowie auf den Erhalt und die Stabilisierung des Regional- und Lokalklimas mit besonderer Bedeutung als Klimaausgleichsfläche im Süden Berlins und für die Region Zossen,</w:t>
      </w:r>
    </w:p>
    <w:p>
      <w:r>
        <w:t xml:space="preserve">die Förderung naturnaher Wälder, insbesondere der Erlen-Bruchwälder, der grundwassernahen Niederungswälder sowie der Kiefern-, Eschen- und Eichenmischwälder mit dem Ziel der Entwicklung zu einem zusammenhängenden, naturnah ausgebildeten und reichhaltig strukturierten Waldökosystem, das reich mit Alt- und Totholz bestückt ist,</w:t>
      </w:r>
    </w:p>
    <w:p>
      <w:r>
        <w:t xml:space="preserve">die Erhaltung der kulturabhängigen Biotope und Landschaftselemente, wie Frischwiesen, Feuchtwiesen und Weiden, Hecken, Feldgehölze, Solitärbäume, Äcker, Lesesteinhaufen, Kopfweiden sowie Alleen und Streuobstbestände in ihrer vielfältigen und typischen Ausbildung,</w:t>
      </w:r>
    </w:p>
    <w:p>
      <w:r>
        <w:t xml:space="preserve">die Erhaltung der gebietstypischen Landschaftsteile wie Stauchmoränen, Grundmoränen, Talsande, Binnendünen und die Förderung ihrer typischen Vegetationseinheiten wie Moore, nährstoffarme Gewässer, Sandflure, Trockenrasen und Heiden als naturnahe Lebensräume für wildlebende Tier- und Pflanzenarten,</w:t>
      </w:r>
    </w:p>
    <w:p>
      <w:r>
        <w:t xml:space="preserve">die Bedeutung des Gebietes im überregionalen Biotopverbund zwischen den Schutzgebieten im Süden Berlins und dem Baruther Urstromtal,</w:t>
      </w:r>
    </w:p>
    <w:p>
      <w:r>
        <w:t xml:space="preserve">den großräumigen Schutz der gering besiedelten Landschaftsräume für störungsempfindliche Arten und Arten mit großen Arealansprüchen;</w:t>
      </w:r>
    </w:p>
    <w:p>
      <w:r>
        <w:t xml:space="preserve">die Bewahrung der Vielfalt, Eigenart und Schönheit der natürlichen sowie durch menschliche Nutzungen geprägten Kulturlandschaft, insbesondere</w:t>
      </w:r>
    </w:p>
    <w:p>
      <w:r>
        <w:t xml:space="preserve">des typischen Ausschnittes der Jungmoränenlandschaft der Teltower Platte mit ihrem Mosaik aus Söllen, Talsandebenen und Binnendünen sowie den Grundmoränen in ihrer mannigfaltigen und typischen Ausbildung,</w:t>
      </w:r>
    </w:p>
    <w:p>
      <w:r>
        <w:t xml:space="preserve">der durch die landwirtschaftliche Nutzung geprägten Offenlandschaften in ihrer typischer Mannigfaltigkeit,</w:t>
      </w:r>
    </w:p>
    <w:p>
      <w:r>
        <w:t xml:space="preserve">der historisch geprägten, weiträumig angelegten Siedlungsstrukturen durch Vermeidung weiterer Landschaftszersiedelung und Zerschneidung sowie durch Erhalt der kulturhistorisch wertvollen Alleen;</w:t>
      </w:r>
    </w:p>
    <w:p>
      <w:r>
        <w:t xml:space="preserve">die Sicherung der Nachhaltigkeit der besonders bedeutsamen Erholungsfunktion des Gebietes im Einzugsbereich des Großraums Berlin sowie im unmittelbaren Umfeld der Bebauungsachse Lichtenrade, Mahlow, Blankenfelde, Zossen, insbesondere durch</w:t>
      </w:r>
    </w:p>
    <w:p>
      <w:r>
        <w:t xml:space="preserve">eine der Landschaft und Naturausstattung angepaßte Erschließung für die Erholung, insbesondere der Waldgebiete und der Feldflur,</w:t>
      </w:r>
    </w:p>
    <w:p>
      <w:r>
        <w:t xml:space="preserve">die Förderung der naturnahen Erholung im Rahmen der historischen gewachsenen dörflichen Strukturen und die konzeptionelle Einbindung bestehender Einrichtungen;</w:t>
      </w:r>
    </w:p>
    <w:p>
      <w:r>
        <w:t xml:space="preserve">die Entwicklung des Gebietes im Hinblick auf eine naturverträgliche, nachhaltige Landnutzung.</w:t>
      </w:r>
    </w:p>
    <w:p>
      <w:r>
        <w:rPr>
          <w:color w:val="555555"/>
          <w:sz w:val="17"/>
        </w:rPr>
        <w:t xml:space="preserve">Zitiervorschlag: § 3 VO-ID212838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