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VO-ID212838 (Brandenburg) — Schutzgegenstand</w:t>
      </w:r>
    </w:p>
    <w:p>
      <w:r>
        <w:rPr>
          <w:color w:val="555555"/>
          <w:sz w:val="18"/>
        </w:rPr>
        <w:t xml:space="preserve">Verordnung über das Landschaftsschutzgebiet „Diedersdorfer Heide und Großbeerener 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5 463 Hektar. Es liegt in den Gemarkungen Mahlow, Osdorf, Großbeeren, Diedersdorf, Genshagen, Jühnsdorf, Dahlewitz, Rangsdorf und Blankenfelde und wird durch die folgenden Orte, Straßen, Wege und Gewässer ungefähr begrenzt:</w:t>
      </w:r>
    </w:p>
    <w:p>
      <w:r>
        <w:t xml:space="preserve">im Norden durch die Landesgrenze zu Berlin,</w:t>
      </w:r>
    </w:p>
    <w:p>
      <w:r>
        <w:t xml:space="preserve">im Osten im nördlichen Abschnitt durch die Ortslagen Mahlow und Blankenfelde und im südlichen Abschnitt durch die Eisenbahnlinie Berlin-Dresden,</w:t>
      </w:r>
    </w:p>
    <w:p>
      <w:r>
        <w:t xml:space="preserve">im Süden durch die Bundesautobahn A 10,</w:t>
      </w:r>
    </w:p>
    <w:p>
      <w:r>
        <w:t xml:space="preserve">im Nordwesten durch die Bundesstraße 101 bis Großbeeren, im Südwesten von Großbeeren zum Teil westlich der derzeitigen Trasse der B 101 unter Einbeziehung von Rieselfeldern.</w:t>
      </w:r>
    </w:p>
    <w:p>
      <w:r>
        <w:t xml:space="preserve">Eine Kartenskizze zur Orientierung über die Lage des Landschaftsschutzgebietes</w:t>
      </w:r>
    </w:p>
    <w:p>
      <w:r>
        <w:t xml:space="preserve">wird als Anlage 1 beigefügt.</w:t>
      </w:r>
    </w:p>
    <w:p>
      <w:r>
        <w:t xml:space="preserve">(2) Die genauen Grenzen des Landschaftsschutzgebietes sind in den in Anlage 2 dieser</w:t>
      </w:r>
    </w:p>
    <w:p>
      <w:r>
        <w:t xml:space="preserve">Verordnung aufgeführten Karten mit ununterbrochener Linie eingezeichnet; als</w:t>
      </w:r>
    </w:p>
    <w:p>
      <w:r>
        <w:t xml:space="preserve">Grenze gilt der innere Rand dieser Linie. Die in Anlage 2 Nummer 1 aufgeführten</w:t>
      </w:r>
    </w:p>
    <w:p>
      <w:r>
        <w:t xml:space="preserve">zehn topografischen Karten im Maßstab 1 : 10 000 ermöglichen die Verortung im</w:t>
      </w:r>
    </w:p>
    <w:p>
      <w:r>
        <w:t xml:space="preserve">Gelände. Maßgeblich für den Grenzverlauf ist die Einzeichnung in den in Anlage 2</w:t>
      </w:r>
    </w:p>
    <w:p>
      <w:r>
        <w:t xml:space="preserve">Nummer 2 aufgeführten 31 Flurkarten und in den in Anlage 2 Nummer 3 aufgeführten</w:t>
      </w:r>
    </w:p>
    <w:p>
      <w:r>
        <w:t xml:space="preserve">drei Liegenschaftskarten.</w:t>
      </w:r>
    </w:p>
    <w:p>
      <w:r>
        <w:t xml:space="preserve">(3) Die Karten können beim Ministerium für Umwelt, Naturschutz und Raumordnung des Landes Brandenburg, oberste Naturschutzbehörde, in Potsdam sowie beim Landkreis Teltow-Fläming,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