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VO-ID212836 (Brandenburg) — Verbote, Genehmigungsvorbehalt</w:t>
      </w:r>
    </w:p>
    <w:p>
      <w:r>
        <w:rPr>
          <w:color w:val="555555"/>
          <w:sz w:val="18"/>
        </w:rPr>
        <w:t xml:space="preserve">Verordnung über das Landschaftsschutzgebiet „Stolpe“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dieser Verordnung zulässigen Handlungen sind im Landschaftsschutzgebiet gemäß § 22 Abs. 3 des Brandenburgischen Naturschutzgesetzes folgende Handlungen verboten:</w:t>
      </w:r>
    </w:p>
    <w:p>
      <w:r>
        <w:t xml:space="preserve">Trockenrasen und offene Dünenstandorte nachteilig zu verändern, zu beschädigen oder zu zerstören;</w:t>
      </w:r>
    </w:p>
    <w:p>
      <w:r>
        <w:t xml:space="preserve">Niedermoorstandorte umzubrechen oder in anderer Weise zu beeinträchtigen;</w:t>
      </w:r>
    </w:p>
    <w:p>
      <w:r>
        <w:t xml:space="preserve">Bäume außerhalb des Waldes, Hecken, Feld- oder Ufergehölze, Ufervegetation, Schwimmblattgesellschaften oder ähnlichen Bewuchs sowie Findlinge oder Lesesteinhaufen zu verändern, zu beschädigen oder zu beseitigen.</w:t>
      </w:r>
    </w:p>
    <w:p>
      <w:r>
        <w:t xml:space="preserve">(2) Sonstige Handlungen, die geeignet sind, den Charakter des Gebietes zu verändern, den Naturhaushalt zu schädigen, das Landschaftsbild zu verunstalten, den Naturgenuß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und Werbeanlagen aufzustellen oder anzubringen; ausgenommen zur saisonalen Direktvermarktung landwirtschaftlicher Produkte;</w:t>
      </w:r>
    </w:p>
    <w:p>
      <w:r>
        <w:t xml:space="preserve">Veranstaltungen für motorgetriebene Fahrzeuge einschließlich ferngesteuerter Geräte durchzuführen; dies gilt nicht für Bundeswasserstraßen und schiffbare Landesgewässer;</w:t>
      </w:r>
    </w:p>
    <w:p>
      <w:r>
        <w:t xml:space="preserve">außerhalb der dafür zugelassenen Wege zu reiten; § 20 Abs. 3 des Landeswaldgesetzes bleibt unberührt;</w:t>
      </w:r>
    </w:p>
    <w:p>
      <w:r>
        <w:t xml:space="preserve">außerhalb öffentlich-rechtlich zugelassener und gekennzeichneter Plätze sowie von Hausgärten Wohnwagen aufzustellen oder offene Feuerstätten zu errichten oder zu betreiben;</w:t>
      </w:r>
    </w:p>
    <w:p>
      <w:r>
        <w:t xml:space="preserve">außerhalb des Waldes standortfremde oder landschaftsuntypische Gehölzpflanzungen vorzunehmen;</w:t>
      </w:r>
    </w:p>
    <w:p>
      <w:r>
        <w:t xml:space="preserve">Grünland in eine andere Nutzungsart zu überführen.</w:t>
      </w:r>
    </w:p>
    <w:p>
      <w:r>
        <w:t xml:space="preserve">(3) Die Genehmigung nach Absatz 2 wird unbeschadet anderer Rechtsvorschriften auf Antrag von der unteren Naturschutzbehörde erteilt,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VO-ID212836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