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VO-ID212835 (Brandenburg) — Schutzzweck</w:t>
      </w:r>
    </w:p>
    <w:p>
      <w:r>
        <w:rPr>
          <w:color w:val="555555"/>
          <w:sz w:val="18"/>
        </w:rPr>
        <w:t xml:space="preserve">Verordnung über das Landschaftsschutzgebiet „Parforceheide“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dieser pleistozän geprägten Landschaft ist</w:t>
      </w:r>
    </w:p>
    <w:p>
      <w:r>
        <w:t xml:space="preserve">die Erhaltung und Wiederherstellung der Leistungsfähigkeit des Naturhaushaltes in bezug auf</w:t>
      </w:r>
    </w:p>
    <w:p>
      <w:r>
        <w:t xml:space="preserve">die Funktionsfähigkeit der Böden durch Sicherung und Förderung der natürlichen Vielfalt der Bodeneigenschaften sowie auf den Schutz des Bodens vor Überbauung, Verdichtung, Abbau und Erosion,</w:t>
      </w:r>
    </w:p>
    <w:p>
      <w:r>
        <w:t xml:space="preserve">die Funktionsfähigkeit des Wasserhaushaltes sowie die naturnahe Entwicklung der Fließgewässer und Verlandungszonen mit dem Schwerpunkt der Sicherung und Wiederherstellung einer weitgehend ungestörten Grundwasserneubildung,</w:t>
      </w:r>
    </w:p>
    <w:p>
      <w:r>
        <w:t xml:space="preserve">die Funktion des Gebietes als klimatische Ausgleichsfläche im Süden des Ballungsraumes Berlin zwischen den Siedlungsachsen Potsdam und Teltow,</w:t>
      </w:r>
    </w:p>
    <w:p>
      <w:r>
        <w:t xml:space="preserve">eine weiträumige, strukturreiche und teilweise ungestörte Landschaft als Lebensraum einer artenreichen Tier- und Pflanzenwelt, insbesondere von seltenen Säugetieren, Amphibien und Vögeln,</w:t>
      </w:r>
    </w:p>
    <w:p>
      <w:r>
        <w:t xml:space="preserve">den Erhalt der weitgehend kulturabhängigen, vielfältigen Biotope und Landschaftselemente, wie Feuchtgrünland, Moore, Trockenrasen, Ackerflächen, Hecken, Feldgehölze, Solitärbäume, Kopfweiden sowie Alleen in ihrer typischen Ausbildung,</w:t>
      </w:r>
    </w:p>
    <w:p>
      <w:r>
        <w:t xml:space="preserve">die Erhaltung der naturnahen, zusammenhängenden Wälder sowie die Entwicklung der naturfernen Waldbestände zu strukturreichen Waldökosystemen,</w:t>
      </w:r>
    </w:p>
    <w:p>
      <w:r>
        <w:t xml:space="preserve">die Bedeutung des Gebietes im überregionalen Biotopverbund zwischen dem Grunewald und den Potsdamer Wald- und Seengebieten,</w:t>
      </w:r>
    </w:p>
    <w:p>
      <w:r>
        <w:t xml:space="preserve">die Bedeutung als Pufferzone für die vom Gebiet umschlossenen Naturschutzgebiete;</w:t>
      </w:r>
    </w:p>
    <w:p>
      <w:r>
        <w:t xml:space="preserve">die Erhaltung, Wiederherstellung und Entwicklung der Schönheit, Vielfalt und Eigenart eines typischen Ausschnittes der Jungmoränenlandschaft des Norddeutschen Tieflandes, insbesondere</w:t>
      </w:r>
    </w:p>
    <w:p>
      <w:r>
        <w:t xml:space="preserve">der landschaftsprägenden Grundmoränen, des Wechsels von Waldgebieten, Ackerland, unterschiedlich genutztem Grünland und den für Offenlandschaften charakteristischen Kleinstrukturen,</w:t>
      </w:r>
    </w:p>
    <w:p>
      <w:r>
        <w:t xml:space="preserve">der historisch geprägten Siedlungsstrukturen in ihrer Eigenart durch Vermeidung weiterer Landschaftszersiedlung und Landschaftszerschneidung sowie der Erhalt der unter Denkmalschutz stehenden Forst-, Park- und Alleeanlagen;</w:t>
      </w:r>
    </w:p>
    <w:p>
      <w:r>
        <w:t xml:space="preserve">die nachhaltige Sicherung der Erholungsfunktion des Gebietes im Einzugsbereich von Teltow sowie des Großraums Berlin einschließlich einer der Landschaft und Naturausstattung angepaßten Erschließung zum Zwecke der landschaftsgebundenen Erholung;</w:t>
      </w:r>
    </w:p>
    <w:p>
      <w:r>
        <w:t xml:space="preserve">die Entwicklung des Gebietes im Rahmen einer nachhaltigen und naturverträglichen Landnutzung.</w:t>
      </w:r>
    </w:p>
    <w:p>
      <w:r>
        <w:rPr>
          <w:color w:val="555555"/>
          <w:sz w:val="17"/>
        </w:rPr>
        <w:t xml:space="preserve">Zitiervorschlag: § 3 VO-ID212835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