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VO-ID212835 (Brandenburg) — Inkrafttreten</w:t>
      </w:r>
    </w:p>
    <w:p>
      <w:r>
        <w:rPr>
          <w:color w:val="555555"/>
          <w:sz w:val="18"/>
        </w:rPr>
        <w:t xml:space="preserve">Verordnung über das Landschaftsschutzgebiet „Parforceheide“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dem Inkrafttreten dieser Verordnung treten außer Kraft:</w:t>
      </w:r>
    </w:p>
    <w:p>
      <w:r>
        <w:t xml:space="preserve">die Verordnung über das Landschaftsschutzgebiet "Bäketal" des Landrates des Kreises Teltow vom 23. Januar 1942,</w:t>
      </w:r>
    </w:p>
    <w:p>
      <w:r>
        <w:t xml:space="preserve">die Verordnung über das Landschaftsschutzgebiet "Jagdhaus Stern" des Landrates des Kreises Teltow vom 20. Dezember 1937,</w:t>
      </w:r>
    </w:p>
    <w:p>
      <w:r>
        <w:t xml:space="preserve">die Verordnung über das Landschaftsschutzgebiet "Landschaftsteile Güterfelde - Große und Kleine Rohrlake" vom 9. Januar 1941.</w:t>
      </w:r>
    </w:p>
    <w:p>
      <w:r>
        <w:t xml:space="preserve">Potsdam, den 12. November 1997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11 VO-ID212835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VO-ID212835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