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VO-ID212834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„Bergbaufolgelandschaft Schlabendorf-Seese“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als Zielvorgabe</w:t>
      </w:r>
    </w:p>
    <w:p>
      <w:r>
        <w:t xml:space="preserve">festgelegt:</w:t>
      </w:r>
    </w:p>
    <w:p>
      <w:r>
        <w:t xml:space="preserve">Fließgewässer mit ihren Ufern und Retentionsflächen sind</w:t>
      </w:r>
    </w:p>
    <w:p>
      <w:r>
        <w:t xml:space="preserve">nach Möglichkeit in einen naturnahen Zustand zurückzubauen bzw. zu</w:t>
      </w:r>
    </w:p>
    <w:p>
      <w:r>
        <w:t xml:space="preserve">entwickeln und dann entsprechend den hydrologischen und geologischen</w:t>
      </w:r>
    </w:p>
    <w:p>
      <w:r>
        <w:t xml:space="preserve">Bedingungen ihrer natürlichen Entwicklung zu überlassen;</w:t>
      </w:r>
    </w:p>
    <w:p>
      <w:r>
        <w:t xml:space="preserve">Hecken, Feldgehölze, naturnahe Waldränder, Feldraine sowie Obst-</w:t>
      </w:r>
    </w:p>
    <w:p>
      <w:r>
        <w:t xml:space="preserve">und Beerengehölze sollen zur Förderung der Landschaftsstruktur unter</w:t>
      </w:r>
    </w:p>
    <w:p>
      <w:r>
        <w:t xml:space="preserve">besonderer Berücksichtigung der Einbindung in ein Biotopverbundsystem neu</w:t>
      </w:r>
    </w:p>
    <w:p>
      <w:r>
        <w:t xml:space="preserve">angelegt, gepflegt oder entwickelt werden;</w:t>
      </w:r>
    </w:p>
    <w:p>
      <w:r>
        <w:t xml:space="preserve">störungsempfindliche Lebensgemeinschaften sind vor Beunruhigung jeder</w:t>
      </w:r>
    </w:p>
    <w:p>
      <w:r>
        <w:t xml:space="preserve">Art zu schützen. Zu diesem Zweck sollen Wegführungen, Steganlagen</w:t>
      </w:r>
    </w:p>
    <w:p>
      <w:r>
        <w:t xml:space="preserve">oder andere Nutzungen so angelegt, eingeschränkt, entfernt oder</w:t>
      </w:r>
    </w:p>
    <w:p>
      <w:r>
        <w:t xml:space="preserve">ausgeschlossen werden, daß der Schutz dieser Lebensgemeinschaften</w:t>
      </w:r>
    </w:p>
    <w:p>
      <w:r>
        <w:t xml:space="preserve">gewährleistet werden kann;</w:t>
      </w:r>
    </w:p>
    <w:p>
      <w:r>
        <w:t xml:space="preserve">durch geeignete Maßnahmen der Lenkung soll unter Vermeidung</w:t>
      </w:r>
    </w:p>
    <w:p>
      <w:r>
        <w:t xml:space="preserve">zusätzlicher Versiegelung ein Netz von Rad-, Wander- und Reitwegen im</w:t>
      </w:r>
    </w:p>
    <w:p>
      <w:r>
        <w:t xml:space="preserve">Einvernehmen mit der unteren Naturschutzbehörde entwickelt werden. Nicht</w:t>
      </w:r>
    </w:p>
    <w:p>
      <w:r>
        <w:t xml:space="preserve">landschafts- verträgliche Einrichtungen sollen entsprechend verändert</w:t>
      </w:r>
    </w:p>
    <w:p>
      <w:r>
        <w:t xml:space="preserve">oder gegebenenfalls entfernt werden;</w:t>
      </w:r>
    </w:p>
    <w:p>
      <w:r>
        <w:t xml:space="preserve">langfristig ist die Wiederherstellung des natürlichen</w:t>
      </w:r>
    </w:p>
    <w:p>
      <w:r>
        <w:t xml:space="preserve">Grundwasserstandes anzustreben;</w:t>
      </w:r>
    </w:p>
    <w:p>
      <w:r>
        <w:t xml:space="preserve">aus landschaftsästhetischen Gründen und zum Vogelschutz sind</w:t>
      </w:r>
    </w:p>
    <w:p>
      <w:r>
        <w:t xml:space="preserve">Freileitungen nach Möglichkeit zu sichern und durch Erdverlegung zu</w:t>
      </w:r>
    </w:p>
    <w:p>
      <w:r>
        <w:t xml:space="preserve">ersetzen;</w:t>
      </w:r>
    </w:p>
    <w:p>
      <w:r>
        <w:t xml:space="preserve">Feuchtgrünland ist nach Möglichkeit extensiv zu bewirtschaften.</w:t>
      </w:r>
    </w:p>
    <w:p>
      <w:r>
        <w:rPr>
          <w:color w:val="555555"/>
          <w:sz w:val="17"/>
        </w:rPr>
        <w:t xml:space="preserve">Zitiervorschlag: § 6 VO-ID212834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https://recht.nulegal.eu/gesetze/VO-ID212834/6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