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VO-ID212834 (Brandenburg) — Inkrafttreten</w:t>
      </w:r>
    </w:p>
    <w:p>
      <w:r>
        <w:rPr>
          <w:color w:val="555555"/>
          <w:sz w:val="18"/>
        </w:rPr>
        <w:t xml:space="preserve">Verordnung über das Landschaftsschutzgebiet „Bergbaufolgelandschaft Schlabendorf-Seese“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7. August 1997</w:t>
      </w:r>
    </w:p>
    <w:p>
      <w:r>
        <w:t xml:space="preserve">Der Minister für Umwelt, Naturschutz und Raumordnung</w:t>
      </w:r>
    </w:p>
    <w:p>
      <w:r>
        <w:t xml:space="preserve">In Vertretung</w:t>
      </w:r>
    </w:p>
    <w:p>
      <w:r>
        <w:t xml:space="preserve">Rainer Speer</w:t>
      </w:r>
    </w:p>
    <w:p>
      <w:r>
        <w:t xml:space="preserve">Anm.: die Anlage wurde nicht aufgenommen.</w:t>
      </w:r>
    </w:p>
    <w:p>
      <w:r>
        <w:rPr>
          <w:color w:val="555555"/>
          <w:sz w:val="17"/>
        </w:rPr>
        <w:t xml:space="preserve">Zitiervorschlag: § 11 VO-ID212834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https://recht.nulegal.eu/gesetze/VO-ID212834/11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