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VO-ID212834 (Brandenburg) — Erklärung zum Schutzgebiet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</w:t>
      </w:r>
    </w:p>
    <w:p>
      <w:r>
        <w:t xml:space="preserve">Gemeinden Bischdorf, Buckow, Groß Beuchow, Hindenberg, Kittlitz, Mlode</w:t>
      </w:r>
    </w:p>
    <w:p>
      <w:r>
        <w:t xml:space="preserve">und Zinnitz im Landkreis Oberspreewald-Lausitz und in den Gemeinden Egsdorf,</w:t>
      </w:r>
    </w:p>
    <w:p>
      <w:r>
        <w:t xml:space="preserve">Schlabendorf und Willmersdorf-Stöbritz im Landkreis Dahme-Spreewald werden</w:t>
      </w:r>
    </w:p>
    <w:p>
      <w:r>
        <w:t xml:space="preserve">als Landschaftsschutzgebiet festgesetzt. Das Landschaftsschutzgebiet trägt</w:t>
      </w:r>
    </w:p>
    <w:p>
      <w:r>
        <w:t xml:space="preserve">die Bezeichnung "Bergbaufolgelandschaft Schlabendorf-Seese".</w:t>
      </w:r>
    </w:p>
    <w:p>
      <w:r>
        <w:rPr>
          <w:color w:val="555555"/>
          <w:sz w:val="17"/>
        </w:rPr>
        <w:t xml:space="preserve">Zitiervorschlag: § 1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