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VO-ID212833 (Brandenburg) — Verhältnis zu anderen naturschutzrechtlichen Bestimmungen</w:t>
      </w:r>
    </w:p>
    <w:p>
      <w:r>
        <w:rPr>
          <w:color w:val="555555"/>
          <w:sz w:val="18"/>
        </w:rPr>
        <w:t xml:space="preserve">Verordnung über das Landschaftsschutzgebiet „Rochau - Kolpiener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Schutzzweckes und die Duldung von Maßnahmen des Naturschutzes und der Landschaftspflege richten sich nach den §§ 29, 68 des Brandenburgischen Naturschutzgesetzes.</w:t>
      </w:r>
    </w:p>
    <w:p>
      <w:r>
        <w:t xml:space="preserve">(2) Soweit für den Bereich des Landschaftsschutzgebietes besondere naturschutzrechtliche Vorschriften bestehen oder erlassen werden, bleiben diese unberührt. Insbesondere gilt folgende Vorschrift fort:</w:t>
      </w:r>
    </w:p>
    <w:p>
      <w:r>
        <w:t xml:space="preserve">Beschluß-Nr. 75/81 des Bezirkstages Cottbus vom 25. März 1981 über die Festsetzung des Naturschutzgebietes "Rochauer Heide".</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26c des Bundesnaturschutzgesetzes, §§ 37 bis 43 des Brandenburgischen Naturschutzgesetzes) unberührt.</w:t>
      </w:r>
    </w:p>
    <w:p>
      <w:r>
        <w:rPr>
          <w:color w:val="555555"/>
          <w:sz w:val="17"/>
        </w:rPr>
        <w:t xml:space="preserve">Zitiervorschlag: § 9 VO-ID212833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