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VO-ID212833 (Brandenburg) — Ordnungswidrigkeiten</w:t>
      </w:r>
    </w:p>
    <w:p>
      <w:r>
        <w:rPr>
          <w:color w:val="555555"/>
          <w:sz w:val="18"/>
        </w:rPr>
        <w:t xml:space="preserve">Verordnung über das Landschaftsschutzgebiet „Rochau - Kolpiener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und 2 zuwiderhandelt oder</w:t>
      </w:r>
    </w:p>
    <w:p>
      <w:r>
        <w:t xml:space="preserve">Handlungen ohne die nach § 4 Abs. 2 Nr. 1 bis 8 erforderliche Genehmigung vornimmt oder</w:t>
      </w:r>
    </w:p>
    <w:p>
      <w:r>
        <w:t xml:space="preserve">den Maßgaben des § 5 Nr. 1 bis 5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VO-ID212833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