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VO-ID212833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„Rochau - Kolpiener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Zielvorgaben festgelegt:</w:t>
      </w:r>
    </w:p>
    <w:p>
      <w:r>
        <w:t xml:space="preserve">die Forsten sind möglichst in altholz-, zwergstrauch- bzw. unterholzreiche naturnahe Mischwaldbestände mit Traubeneichen und Kiefern als vorherrschende Baumarten zu entwickeln. Dabei</w:t>
      </w:r>
    </w:p>
    <w:p>
      <w:r>
        <w:t xml:space="preserve">sind Kahlschläge nach Möglichkeit kleinflächig auszuführen oder zu vermeiden,</w:t>
      </w:r>
    </w:p>
    <w:p>
      <w:r>
        <w:t xml:space="preserve">ist der Anteil an Totholz, Altholzinseln, Laubholzstubben und Höhlenbäumen zu erhalten und nach Möglichkeit zu erhöhen,</w:t>
      </w:r>
    </w:p>
    <w:p>
      <w:r>
        <w:t xml:space="preserve">sind zur Verbesserung der Lebensbedingungen von wildlebenden Tieren Zwergsträucher zu fördern;</w:t>
      </w:r>
    </w:p>
    <w:p>
      <w:r>
        <w:t xml:space="preserve">die extensive Weidewirtschaft ist zum Erhalt der Kulturlandschaft zu fördern und zu entwickeln;</w:t>
      </w:r>
    </w:p>
    <w:p>
      <w:r>
        <w:t xml:space="preserve">die Dahme soll im Quellbereich und ihrem weiteren Bachlauf weitestgehend renaturiert werden;</w:t>
      </w:r>
    </w:p>
    <w:p>
      <w:r>
        <w:t xml:space="preserve">mit schädlichen Substanzen belastete Böden sind nach Möglichkeit zu sanieren;</w:t>
      </w:r>
    </w:p>
    <w:p>
      <w:r>
        <w:t xml:space="preserve">die naturverträgliche und naturorientierte Erholung ist durch geeignete Lenkungsmaßnahmen (Rad-, Wander-, Reitwege, sonstige Einrichtungen) so zu erhalten und zu entwickeln, daß die Beeinträchtigung störungsempfindlicher Tier- und Pflanzenarten und Lebensräume vermieden wird.</w:t>
      </w:r>
    </w:p>
    <w:p>
      <w:r>
        <w:rPr>
          <w:color w:val="555555"/>
          <w:sz w:val="17"/>
        </w:rPr>
        <w:t xml:space="preserve">Zitiervorschlag: § 6 VO-ID212833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