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VO-ID212833 (Brandenburg) — Zulässige Handlungen</w:t>
      </w:r>
    </w:p>
    <w:p>
      <w:r>
        <w:rPr>
          <w:color w:val="555555"/>
          <w:sz w:val="18"/>
        </w:rPr>
        <w:t xml:space="preserve">Verordnung über das Landschaftsschutzgebiet „Rochau - Kolpiener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den Verboten und Genehmigungsvorbehalten des § 4 dieser Verordnung bleiben zulässig:</w:t>
      </w:r>
    </w:p>
    <w:p>
      <w:r>
        <w:t xml:space="preserve">die im Sinne von § 11 Abs. 2 des Brandenburgischen Naturschutzgesetzes ordnungsgemäße landwirtschaftliche Bodennutzung;</w:t>
      </w:r>
    </w:p>
    <w:p>
      <w:r>
        <w:t xml:space="preserve">die im Sinne von § 11 Abs. 3 des Brandenburgischen Naturschutzgesetzes ordnungsgemäße forstwirtschaftliche Bodennutzung mit der Maßgabe, daß § 4 Abs. 2 Nr. 8 weiterhin gilt;</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die ordnungsgemäße Unterhaltung rechtmäßig bestehender Anlagen einschließlich der dem öffentlichen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unteren Naturschutzbehörde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Durchführung von Untersuchungsmaßnahmen sowie von Maßnahmen zur öffentlichen Gefahrenabwehr im Altbergbaugebiet "Albrecht", die sich auf der Grundlage einer bergschadenskundlichen Analyse ergeben, im Einvernehmen mit der unteren Naturschutzbehörde. Der Herstellung des Einvernehmens bedarf es nicht, soweit es sich um unaufschiebbare Maßnahmen der Gefahrenabwehr handelt.</w:t>
      </w:r>
    </w:p>
    <w:p>
      <w:r>
        <w:rPr>
          <w:color w:val="555555"/>
          <w:sz w:val="17"/>
        </w:rPr>
        <w:t xml:space="preserve">Zitiervorschlag: § 5 VO-ID212833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