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VO-ID212832 (Brandenburg) — Schutzgegenstand</w:t>
      </w:r>
    </w:p>
    <w:p>
      <w:r>
        <w:rPr>
          <w:color w:val="555555"/>
          <w:sz w:val="18"/>
        </w:rPr>
        <w:t xml:space="preserve">Verordnung über das Landschaftsschutzgebiet „Elsteraue“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Landschaftsschutzgebiet besteht aus drei</w:t>
      </w:r>
    </w:p>
    <w:p>
      <w:r>
        <w:t xml:space="preserve">Teilflächen und hat eine Größe von insgesamt rund 6.011 Hektar.</w:t>
      </w:r>
    </w:p>
    <w:p>
      <w:r>
        <w:t xml:space="preserve">Es umfaßt Teile des Elbe-Elster-Tieflandes und wird wie folgt</w:t>
      </w:r>
    </w:p>
    <w:p>
      <w:r>
        <w:t xml:space="preserve">ungefähr begrenzt:</w:t>
      </w:r>
    </w:p>
    <w:p>
      <w:r>
        <w:t xml:space="preserve">Teilfläche I: im Nordosten durch die Bundesstraße B 101, im</w:t>
      </w:r>
    </w:p>
    <w:p>
      <w:r>
        <w:t xml:space="preserve">Osten durch die Verbindungsstraße Bad Liebenwerda - Maasdorf, im</w:t>
      </w:r>
    </w:p>
    <w:p>
      <w:r>
        <w:t xml:space="preserve">Südwesten durch die Bahnlinie Bad Liebenwerda - Falkenberg und im</w:t>
      </w:r>
    </w:p>
    <w:p>
      <w:r>
        <w:t xml:space="preserve">Nordwesten durch die Bahnlinie Falkenberg - Doberlug-Kirchhain,</w:t>
      </w:r>
    </w:p>
    <w:p>
      <w:r>
        <w:t xml:space="preserve">Teilfläche II: im Norden durch die Bahnlinie Bad Liebenwerda -</w:t>
      </w:r>
    </w:p>
    <w:p>
      <w:r>
        <w:t xml:space="preserve">Elsterwerda, im Osten durch die Grenze zur Stadt Elsterwerda, im Süden</w:t>
      </w:r>
    </w:p>
    <w:p>
      <w:r>
        <w:t xml:space="preserve">durch die Ortsverbindungsstraßen zwischen Zobersdorf, Prieschka, Saathain</w:t>
      </w:r>
    </w:p>
    <w:p>
      <w:r>
        <w:t xml:space="preserve">und im Nordwesten durch die Grenze zur Stadt Bad Liebenwerda,</w:t>
      </w:r>
    </w:p>
    <w:p>
      <w:r>
        <w:t xml:space="preserve">Teilfläche III: im Norden durch die Bundesstraße B 169, im</w:t>
      </w:r>
    </w:p>
    <w:p>
      <w:r>
        <w:t xml:space="preserve">Osten durch die Gemarkungsgrenze Lauchhammer, im Süden durch den</w:t>
      </w:r>
    </w:p>
    <w:p>
      <w:r>
        <w:t xml:space="preserve">Hauptschradengraben und den Reissdamm und im Westen durch die Grenze zur Stadt</w:t>
      </w:r>
    </w:p>
    <w:p>
      <w:r>
        <w:t xml:space="preserve">Elsterwerda.</w:t>
      </w:r>
    </w:p>
    <w:p>
      <w:r>
        <w:t xml:space="preserve">Drei Kartenskizzen sind dieser Verordnung zur Orientierung als Anlagen</w:t>
      </w:r>
    </w:p>
    <w:p>
      <w:r>
        <w:t xml:space="preserve">beigefügt.</w:t>
      </w:r>
    </w:p>
    <w:p>
      <w:r>
        <w:t xml:space="preserve">(2) Die Grenzen des Landschaftsschutzgebietes sind in topographischen Karten</w:t>
      </w:r>
    </w:p>
    <w:p>
      <w:r>
        <w:t xml:space="preserve">im Maßstab 1:25.000 und in Flurkarten mit einer ununterbrochenen Linie</w:t>
      </w:r>
    </w:p>
    <w:p>
      <w:r>
        <w:t xml:space="preserve">eingetragen; als Grenze gilt der innere Rand dieser Linie. Die innerhalb des</w:t>
      </w:r>
    </w:p>
    <w:p>
      <w:r>
        <w:t xml:space="preserve">Landschaftsschutzgebietes liegenden Flurstücke sind in einem</w:t>
      </w:r>
    </w:p>
    <w:p>
      <w:r>
        <w:t xml:space="preserve">Flurstücksverzeichnis aufgeführt.</w:t>
      </w:r>
    </w:p>
    <w:p>
      <w:r>
        <w:t xml:space="preserve">(3) Die Karten und das Flurstücksverzeichnis können beim</w:t>
      </w:r>
    </w:p>
    <w:p>
      <w:r>
        <w:t xml:space="preserve">Ministerium für Umwelt, Naturschutz und Raumordnung des Landes</w:t>
      </w:r>
    </w:p>
    <w:p>
      <w:r>
        <w:t xml:space="preserve">Brandenburg, oberste Naturschutzbehörde, in Potsdam sowie beim Landkreis</w:t>
      </w:r>
    </w:p>
    <w:p>
      <w:r>
        <w:t xml:space="preserve">Elbe-Elster, untere Naturschutzbehörde, in Bad Liebenwerda von jedermann</w:t>
      </w:r>
    </w:p>
    <w:p>
      <w:r>
        <w:t xml:space="preserve">während der Dienstzeiten kostenlos eingesehen werden.</w:t>
      </w:r>
    </w:p>
    <w:p>
      <w:r>
        <w:rPr>
          <w:color w:val="555555"/>
          <w:sz w:val="17"/>
        </w:rPr>
        <w:t xml:space="preserve">Zitiervorschlag: § 2 VO-ID212832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