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VO-ID212831 (Brandenburg) — Zulässige Handlungen</w:t>
      </w:r>
    </w:p>
    <w:p>
      <w:r>
        <w:rPr>
          <w:color w:val="555555"/>
          <w:sz w:val="18"/>
        </w:rPr>
        <w:t xml:space="preserve">Verordnung über das Landschaftsschutzgebiet „Nexdorf-Kirchhainer Waldlandschaft“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auf den bisher rechtmäßig dafür genutzten Flächen mit der Maßgabe, daß</w:t>
      </w:r>
    </w:p>
    <w:p>
      <w:r>
        <w:t xml:space="preserve">§ 4 Abs. 1 Nr. 3 bis 4 und § 4 Abs. 2 Nr. 9 bis 12 gilt und</w:t>
      </w:r>
    </w:p>
    <w:p>
      <w:r>
        <w:t xml:space="preserve">§ 4 Abs. 1 Nr. 2 gilt, wobei eine Bewirtschaftung von Niedermooren entsprechend der spezifischen Standorteigenschaften ausgenommen ist. Dabei ist eine weitere Degradierung des Moorkörpers weitestgehend auszuschließen;</w:t>
      </w:r>
    </w:p>
    <w:p>
      <w:r>
        <w:t xml:space="preserve">die im Sinne des § 11 Abs. 3 des Brandenburgischen Naturschutzgesetzes ordnungsgemäße forstwirtschaftliche Bodennutzung auf den bisher rechtmäßig dafür genutzten Flächen mit der Maßgabe, daß</w:t>
      </w:r>
    </w:p>
    <w:p>
      <w:r>
        <w:t xml:space="preserve">Höhlenbäume erhalten bleiben und</w:t>
      </w:r>
    </w:p>
    <w:p>
      <w:r>
        <w:t xml:space="preserve">§ 4 Abs. 2 Nr. 12 gilt;</w:t>
      </w:r>
    </w:p>
    <w:p>
      <w:r>
        <w:t xml:space="preserve">die rechtmäßige Ausübung der Jagd mit der Maßgabe, daß</w:t>
      </w:r>
    </w:p>
    <w:p>
      <w:r>
        <w:t xml:space="preserve">durch die Errichtung von Ansitzleitern und Kanzeln das charakteristische Landschaftsbild nicht beeinträchtigt wird und für diese nur Materialien verwendet werden, die sich in das Landschaftsbild einfügen und</w:t>
      </w:r>
    </w:p>
    <w:p>
      <w:r>
        <w:t xml:space="preserve">Düngemaßnahmen auf Wildäsungsflächen im Wald im Einvernehmen mit der unteren Naturschutzbehörde erfolgen;</w:t>
      </w:r>
    </w:p>
    <w:p>
      <w:r>
        <w:t xml:space="preserve">die im Sinne des § 11 Abs. 4 des Brandenburgischen Naturschutzgesetzes ordnungsgemäße fischereiwirtschaftliche Flächennutzung sowie die Angelfischerei auf den rechtmäßig dafür genutzten Flächen mit der Maßgabe, daß § 4 Abs. 1 Nr. 3 und 7 und § 4 Abs. 2 Nr. 12 gilt;</w:t>
      </w:r>
    </w:p>
    <w:p>
      <w:r>
        <w:t xml:space="preserve">die ordnungsgemäße Unterhaltung der Gewässer im Benehmen mit der unteren Naturschutzbehörde und mit der Maßgabe,daß</w:t>
      </w:r>
    </w:p>
    <w:p>
      <w:r>
        <w:t xml:space="preserve">Maßnahmen zeitlich und räumlich so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oder der von ihr beauftragten Stelle angeordnet worden sind;</w:t>
      </w:r>
    </w:p>
    <w:p>
      <w:r>
        <w:t xml:space="preserve">Maßnahmen zur Untersuchung von Altlasten-Verdachtsflächen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Durchführung von Maßnahmen auf der Grundlage von Sanierungsplänen nach § 12 des Gesetzes zur Einführung der Regionalplanung und der Braunkohlen- und Sanierungsplanung im Land Brandenburg im Einvernehmen mit der unteren Naturschutzbehörde. Der Herstellung des Einvernehmens bedarf es nicht, soweit es sich um sicherheitstechnisch notwendige Maßnahmen der Gefahrenabwehr handelt.</w:t>
      </w:r>
    </w:p>
    <w:p>
      <w:r>
        <w:t xml:space="preserve">(2) Die in § 4 dieser Verordnung für das Befahren und Betreten des Landschaftsschutzgebietes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den von ihnen beauftragten Personen, soweit diese in Wahrnehmung ihrer gesetzlichen Aufgaben handeln. Der Genehmigungsvorbehalt nach § 19 Abs. 3 Landeswaldgesetz bleibt unberührt.</w:t>
      </w:r>
    </w:p>
    <w:p>
      <w:r>
        <w:rPr>
          <w:color w:val="555555"/>
          <w:sz w:val="17"/>
        </w:rPr>
        <w:t xml:space="preserve">Zitiervorschlag: § 5 VO-ID212831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