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VO-ID212831 (Brandenburg) — Schutzzweck</w:t>
      </w:r>
    </w:p>
    <w:p>
      <w:r>
        <w:rPr>
          <w:color w:val="555555"/>
          <w:sz w:val="18"/>
        </w:rPr>
        <w:t xml:space="preserve">Verordnung über das Landschaftsschutzgebiet „Nexdorf-Kirchhainer Waldlandschaft“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Bewahrung der Vielfalt, Eigenart oder Schönheit des eiszeitlich geprägten Landschaftsbildes, insbesondere</w:t>
      </w:r>
    </w:p>
    <w:p>
      <w:r>
        <w:t xml:space="preserve">einer Altmoränenlandschaft mit ihren charakteristischen, großflächigen und unzersiedelten Kiefernmischwäldern, Binnendünen, moorigen Bereichen, Kiefernbauernheiden und einem geringen Grad an Bebauung und Verkehrserschließung,</w:t>
      </w:r>
    </w:p>
    <w:p>
      <w:r>
        <w:t xml:space="preserve">der erodierten Altbergbaulandschaft mit ihrem ausgeprägten Relief sowie der von Wiesen geprägten Offenlandbereiche;</w:t>
      </w:r>
    </w:p>
    <w:p>
      <w:r>
        <w:t xml:space="preserve">die Erhaltung, Wiederherstellung und Entwicklung der Leistungsfähigkeit des Naturhaushaltes, insbesondere</w:t>
      </w:r>
    </w:p>
    <w:p>
      <w:r>
        <w:t xml:space="preserve">der Funktionsfähigkeit gewachsener Böden durch Sicherung und Förderung der natürlichen Vielfalt der Bodeneigenschaften und des Bodenlebens, insbesondere durch den Schutz der Böden vor Abtragung, Überbauung und Erosion,</w:t>
      </w:r>
    </w:p>
    <w:p>
      <w:r>
        <w:t xml:space="preserve">der Sicherung der bergbaubedingten Bodenaufschlüsse in ihrer natürlichen Sukzession und zur ungestörten Entwicklung der nährstoffarmen Tagebaurestlöcher Tröbitz-Ostfeld und Tröbitz-Westfeld im Hinblick auf ihre Flora und Fauna, ihre Steilufer, ihren Wasserhaushalt und ihre Gewässerdynamik,</w:t>
      </w:r>
    </w:p>
    <w:p>
      <w:r>
        <w:t xml:space="preserve">der Schutz der Wälder wegen ihrer Ausgleichsfunktion für das Regionalklima und als Frischluftentstehungsgebiet,</w:t>
      </w:r>
    </w:p>
    <w:p>
      <w:r>
        <w:t xml:space="preserve">der Entwicklung der Forstflächen zu strukturreichen Waldgesellschaften, wie naturnahen beerkrautreichen Kiefern-Mischwäldern und Kiefern-Traubeneichen-Rotbuchen-Mischwäldern und zum Erhalt eines großflächigen, weitgehend von Störungen unbeeinflußten und nicht zersiedelten Waldstandortes,</w:t>
      </w:r>
    </w:p>
    <w:p>
      <w:r>
        <w:t xml:space="preserve">wegen der Bedeutung des Gebietes im Rahmen des überregionalen Biotopverbundes (Lausitzer Landrücken-Südrand Endmoräne),</w:t>
      </w:r>
    </w:p>
    <w:p>
      <w:r>
        <w:t xml:space="preserve">der Schutz und die Förderung der autochthonen Tieflandfichten und Weißtannen an ihrer nördlichen Verbreitungsgrenze sowie der Vorkommen von Rotbuche und Traubeneiche,</w:t>
      </w:r>
    </w:p>
    <w:p>
      <w:r>
        <w:t xml:space="preserve">der Funktionsfähigkeit der Wasserkreisläufe durch die Sicherung und Wiederherstellung von weitgehend unbeeinträchtigten Grund- und stehenden Gewässern sowie fließenden Gewässersystemen,</w:t>
      </w:r>
    </w:p>
    <w:p>
      <w:r>
        <w:t xml:space="preserve">der Erhalt seltener und gefährdeter Vegetationstypen und Biotopen als Lebensraum einer großen Zahl seltener oder gefährdeter Tier- und Pflanzenarten;</w:t>
      </w:r>
    </w:p>
    <w:p>
      <w:r>
        <w:t xml:space="preserve">die Erhaltung und Entwicklung des Gebietes für eine naturorientierte Erholung.</w:t>
      </w:r>
    </w:p>
    <w:p>
      <w:r>
        <w:rPr>
          <w:color w:val="555555"/>
          <w:sz w:val="17"/>
        </w:rPr>
        <w:t xml:space="preserve">Zitiervorschlag: § 3 VO-ID212831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https://recht.nulegal.eu/gesetze/VO-ID212831/3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