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VO-ID212831 (Brandenburg) — Inkrafttreten, Außerkrafttreten</w:t>
      </w:r>
    </w:p>
    <w:p>
      <w:r>
        <w:rPr>
          <w:color w:val="555555"/>
          <w:sz w:val="18"/>
        </w:rPr>
        <w:t xml:space="preserve">Verordnung über das Landschaftsschutzgebiet „Nexdorf-Kirchhainer Waldlandschaft“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Diese Verordnung tritt am Tage nach der Verkündung in Kraft.</w:t>
      </w:r>
    </w:p>
    <w:p>
      <w:r>
        <w:t xml:space="preserve">(2) Mit dem Inkrafttreten dieser Verordnung tritt außer Kraft:</w:t>
      </w:r>
    </w:p>
    <w:p>
      <w:r>
        <w:t xml:space="preserve">Der Beschluß-Nr. 03-2/68 des Rates des Bezirkes Cottbus vom 1. Mai 1968 zur "Erklärung von Landschaftsteilen des Bezirkes Cottbus zu Landschaftsschutzgebieten" für das Landschaftsschutzgebiet "Waldlandschaft Doberlug-Kirchhain" für den Geltungsbereich dieser Verordnung sowie für die außerhalb des Geltungsbereiches dieser Verordnung liegenden, jedoch vom Landschaftsschutzgebiet allseits umschlossenen Flächen.</w:t>
      </w:r>
    </w:p>
    <w:p>
      <w:r>
        <w:t xml:space="preserve">Potsdam, den 29. April 1996</w:t>
      </w:r>
    </w:p>
    <w:p>
      <w:r>
        <w:t xml:space="preserve">Der Minister für Umwelt, Naturschutz und Raumordnung</w:t>
      </w:r>
    </w:p>
    <w:p>
      <w:r>
        <w:t xml:space="preserve">Matthias Platzeck</w:t>
      </w:r>
    </w:p>
    <w:p>
      <w:r>
        <w:t xml:space="preserve">Anm.: Die Anlage wurde nicht aufgenommen.</w:t>
      </w:r>
    </w:p>
    <w:p>
      <w:r>
        <w:rPr>
          <w:color w:val="555555"/>
          <w:sz w:val="17"/>
        </w:rPr>
        <w:t xml:space="preserve">Zitiervorschlag: § 11 VO-ID212831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https://recht.nulegal.eu/gesetze/VO-ID212831/11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