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VO-ID212831 (Brandenburg) — Geltendmachen von Form- und Verfahrensmängeln</w:t>
      </w:r>
    </w:p>
    <w:p>
      <w:r>
        <w:rPr>
          <w:color w:val="555555"/>
          <w:sz w:val="18"/>
        </w:rPr>
        <w:t xml:space="preserve">Verordnung über das Landschaftsschutzgebiet „Nexdorf-Kirchhainer Waldlandschaft“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 Brandenburgischen Naturschutzgesetzes kann gegen diese Verordnung innerhalb von zwei Jahren nach ihrer Verkündung geltend gemacht werden, es sei denn,</w:t>
      </w:r>
    </w:p>
    <w:p>
      <w:r>
        <w:t xml:space="preserve">diese Verordnung ist nicht ordnungsgemäß verkündet worden oder</w:t>
      </w:r>
    </w:p>
    <w:p>
      <w:r>
        <w:t xml:space="preserve">der Form- oder Verfahrensmangel ist zuvor gegenüber dem Ministerium für Umwelt, Naturschutz und Raumordnung, unter Angabe der verletzten Rechtsvorschrift und der Tatsache, die den Mangel ergibt, gerügt worden.</w:t>
      </w:r>
    </w:p>
    <w:p>
      <w:r>
        <w:rPr>
          <w:color w:val="555555"/>
          <w:sz w:val="17"/>
        </w:rPr>
        <w:t xml:space="preserve">Zitiervorschlag: § 10 VO-ID212831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https://recht.nulegal.eu/gesetze/VO-ID212831/10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