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VO-ID212830 (Brandenburg) — Zulässige Handlungen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dieser Verordnung bleiben zulässig:</w:t>
      </w:r>
    </w:p>
    <w:p>
      <w:r>
        <w:t xml:space="preserve">die im Sinne des § 11 Abs. 2 des Brandenburgischen</w:t>
      </w:r>
    </w:p>
    <w:p>
      <w:r>
        <w:t xml:space="preserve">Naturschutzgesetzes ordnungsgemäße landwirtschaftliche Bodennutzung</w:t>
      </w:r>
    </w:p>
    <w:p>
      <w:r>
        <w:t xml:space="preserve">auf den bisher rechtmäßig dafür genutzten Flächen mit der</w:t>
      </w:r>
    </w:p>
    <w:p>
      <w:r>
        <w:t xml:space="preserve">Maßgabe, daß</w:t>
      </w:r>
    </w:p>
    <w:p>
      <w:r>
        <w:t xml:space="preserve">§ 4 Abs. 1 Nr. 3 bis Nr. 4 und § 4 Abs. 2 Nr. 9 bis 12 gelten,</w:t>
      </w:r>
    </w:p>
    <w:p>
      <w:r>
        <w:t xml:space="preserve">§ 4 Abs. 1 Nr. 2 gilt, wobei eine Bewirtschaftung von Niedermooren</w:t>
      </w:r>
    </w:p>
    <w:p>
      <w:r>
        <w:t xml:space="preserve">entsprechend der spezifischen Standorteigenschaften ausgenommen ist. Dabei ist</w:t>
      </w:r>
    </w:p>
    <w:p>
      <w:r>
        <w:t xml:space="preserve">eine weitere Degradierung des Moorkörpers weitestgehend</w:t>
      </w:r>
    </w:p>
    <w:p>
      <w:r>
        <w:t xml:space="preserve">auszuschließen;</w:t>
      </w:r>
    </w:p>
    <w:p>
      <w:r>
        <w:t xml:space="preserve">die im Sinne des § 11 Abs. 3 des Brandenburgischen</w:t>
      </w:r>
    </w:p>
    <w:p>
      <w:r>
        <w:t xml:space="preserve">Naturschutzgesetzes ordnungsgemäße forstwirtschaftliche Bodennutzung</w:t>
      </w:r>
    </w:p>
    <w:p>
      <w:r>
        <w:t xml:space="preserve">mit der Maßgabe, daß</w:t>
      </w:r>
    </w:p>
    <w:p>
      <w:r>
        <w:t xml:space="preserve">Höhlenbäume erhalten bleiben und</w:t>
      </w:r>
    </w:p>
    <w:p>
      <w:r>
        <w:t xml:space="preserve">§ 4 Abs. 2 Nr. 12 gilt;</w:t>
      </w:r>
    </w:p>
    <w:p>
      <w:r>
        <w:t xml:space="preserve">die rechtmäßige Ausübung der Jagd mit der Maßgabe,</w:t>
      </w:r>
    </w:p>
    <w:p>
      <w:r>
        <w:t xml:space="preserve">daß</w:t>
      </w:r>
    </w:p>
    <w:p>
      <w:r>
        <w:t xml:space="preserve">durch die Errichtung von Ansitzleitern und Kanzeln das charakteristische</w:t>
      </w:r>
    </w:p>
    <w:p>
      <w:r>
        <w:t xml:space="preserve">Landschaftsbild nicht beeinträchtigt wird und für diese nur</w:t>
      </w:r>
    </w:p>
    <w:p>
      <w:r>
        <w:t xml:space="preserve">Materialien verwendet werden, die sich in das Landschaftsbild einfügen,</w:t>
      </w:r>
    </w:p>
    <w:p>
      <w:r>
        <w:t xml:space="preserve">Düngemaßnahmen auf Wildäsungsflächen im Wald nur im</w:t>
      </w:r>
    </w:p>
    <w:p>
      <w:r>
        <w:t xml:space="preserve">Einvernehmen mit der unteren Naturschutzbehörde erfolgen;</w:t>
      </w:r>
    </w:p>
    <w:p>
      <w:r>
        <w:t xml:space="preserve">die im Sinne des § 11 Abs. 4 des Brandenburgischen</w:t>
      </w:r>
    </w:p>
    <w:p>
      <w:r>
        <w:t xml:space="preserve">Naturschutzgesetzes ordnungsgemäße fischereiwirtschaftliche</w:t>
      </w:r>
    </w:p>
    <w:p>
      <w:r>
        <w:t xml:space="preserve">Flächennutzung mit der Maßgabe, daß</w:t>
      </w:r>
    </w:p>
    <w:p>
      <w:r>
        <w:t xml:space="preserve">§ 4 Abs. 1 Nr. 3 und § 4 Abs. 2 Nr. 12 gelten,</w:t>
      </w:r>
    </w:p>
    <w:p>
      <w:r>
        <w:t xml:space="preserve">Fanggeräte und Fangmittel so einzusetzen oder auszustatten sind,</w:t>
      </w:r>
    </w:p>
    <w:p>
      <w:r>
        <w:t xml:space="preserve">daß ein Einschwimmen und eine Gefährdung des Fischotters weitgehend</w:t>
      </w:r>
    </w:p>
    <w:p>
      <w:r>
        <w:t xml:space="preserve">ausgeschlossen ist;</w:t>
      </w:r>
    </w:p>
    <w:p>
      <w:r>
        <w:t xml:space="preserve">die ordnungsgemäße Unterhaltung der Gewässer im Benehmen</w:t>
      </w:r>
    </w:p>
    <w:p>
      <w:r>
        <w:t xml:space="preserve">mit der unteren Naturschutzbehörde und mit der Maßgabe, daß</w:t>
      </w:r>
    </w:p>
    <w:p>
      <w:r>
        <w:t xml:space="preserve">Maßnahmen zeitlich und räumlich derart durchzuführen sind,</w:t>
      </w:r>
    </w:p>
    <w:p>
      <w:r>
        <w:t xml:space="preserve">daß ein vielfältiger und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werden,</w:t>
      </w:r>
    </w:p>
    <w:p>
      <w:r>
        <w:t xml:space="preserve">keine Pflanzenschutzmittel angewendet werden. Der Herstellung des</w:t>
      </w:r>
    </w:p>
    <w:p>
      <w:r>
        <w:t xml:space="preserve">Benehmens bedarf es nicht, soweit es sich um unaufschiebbare Maßnahmen</w:t>
      </w:r>
    </w:p>
    <w:p>
      <w:r>
        <w:t xml:space="preserve">handelt;</w:t>
      </w:r>
    </w:p>
    <w:p>
      <w:r>
        <w:t xml:space="preserve">die ordnungsgemäße Unterhaltung der rechtmäßig</w:t>
      </w:r>
    </w:p>
    <w:p>
      <w:r>
        <w:t xml:space="preserve">bestehenden Anlagen einschließlich der dem öffentlichen Verkehr</w:t>
      </w:r>
    </w:p>
    <w:p>
      <w:r>
        <w:t xml:space="preserve">gewidmeten Straßen und Wege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die sonstigen bei Inkrafttreten dieser Verordnung aufgrund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Maßnahmen zur Untersuchung von Altlast-Verdachtsflächen und</w:t>
      </w:r>
    </w:p>
    <w:p>
      <w:r>
        <w:t xml:space="preserve">Maßnahmen der Altlastensanierung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Schutz-, Pflege- und Entwicklungsmaßnahmen, die von der unteren</w:t>
      </w:r>
    </w:p>
    <w:p>
      <w:r>
        <w:t xml:space="preserve">Naturschutzbehörde oder der von ihr beauftragten Stelle angeordnet worden</w:t>
      </w:r>
    </w:p>
    <w:p>
      <w:r>
        <w:t xml:space="preserve">sind;</w:t>
      </w:r>
    </w:p>
    <w:p>
      <w:r>
        <w:t xml:space="preserve">behördlich angeordnete oder zugelassene Beschilderungen;</w:t>
      </w:r>
    </w:p>
    <w:p>
      <w:r>
        <w:t xml:space="preserve">die Durchführung von Maßnahmen auf der Grundlage von</w:t>
      </w:r>
    </w:p>
    <w:p>
      <w:r>
        <w:t xml:space="preserve">Sanierungsplänen nach § 12 des Gesetzes zur Einführung der</w:t>
      </w:r>
    </w:p>
    <w:p>
      <w:r>
        <w:t xml:space="preserve">Regionalplanung und der Braunkohlen- und Sanierungsplanung im Land Brandenburg</w:t>
      </w:r>
    </w:p>
    <w:p>
      <w:r>
        <w:t xml:space="preserve">im Einvernehmen mit der unteren Naturschutzbehörde; der Herstellung des</w:t>
      </w:r>
    </w:p>
    <w:p>
      <w:r>
        <w:t xml:space="preserve">Einvernehmens bedarf es nicht, soweit es sich um sicherheitstechnisch</w:t>
      </w:r>
    </w:p>
    <w:p>
      <w:r>
        <w:t xml:space="preserve">notwendige Maßnahmen der Gefahrenabwehr handelt;</w:t>
      </w:r>
    </w:p>
    <w:p>
      <w:r>
        <w:t xml:space="preserve">der Abbau von Torf im Bewilligungsfeld Döllingen zur Deckung des</w:t>
      </w:r>
    </w:p>
    <w:p>
      <w:r>
        <w:t xml:space="preserve">Bedarfs der Kurklinik Bad Liebenwerda mit Genehmigung der obersten</w:t>
      </w:r>
    </w:p>
    <w:p>
      <w:r>
        <w:t xml:space="preserve">Naturschutzbehörde.</w:t>
      </w:r>
    </w:p>
    <w:p>
      <w:r>
        <w:t xml:space="preserve">(2) Die in § 4 dieser Verordnung für das Befahren und Betreten des</w:t>
      </w:r>
    </w:p>
    <w:p>
      <w:r>
        <w:t xml:space="preserve">Landschaftsschutzgebietes enthaltenen Einschränkungen gelten nicht</w:t>
      </w:r>
    </w:p>
    <w:p>
      <w:r>
        <w:t xml:space="preserve">für die Dienstkräfte der Naturschutzbehörden, die</w:t>
      </w:r>
    </w:p>
    <w:p>
      <w:r>
        <w:t xml:space="preserve">zuständigen Naturschutzhelfer und sonstige von den</w:t>
      </w:r>
    </w:p>
    <w:p>
      <w:r>
        <w:t xml:space="preserve">Naturschutzbehörden beauftragte Personen sowie für Dienstkräfte</w:t>
      </w:r>
    </w:p>
    <w:p>
      <w:r>
        <w:t xml:space="preserve">anderer zuständiger Behörden und Einrichtungen und den von ihnen</w:t>
      </w:r>
    </w:p>
    <w:p>
      <w:r>
        <w:t xml:space="preserve">beauftragten Personen, soweit diese in Wahrnehmung ihrer gesetzlichen Aufgaben</w:t>
      </w:r>
    </w:p>
    <w:p>
      <w:r>
        <w:t xml:space="preserve">handeln. Der Genehmigungsvorbehalt nach § 19 Abs. 3 Landeswaldgesetz</w:t>
      </w:r>
    </w:p>
    <w:p>
      <w:r>
        <w:t xml:space="preserve">bleibt unberührt.</w:t>
      </w:r>
    </w:p>
    <w:p>
      <w:r>
        <w:rPr>
          <w:color w:val="555555"/>
          <w:sz w:val="17"/>
        </w:rPr>
        <w:t xml:space="preserve">Zitiervorschlag: § 5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