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VO-ID212830 (Brandenburg) — Erklärung zum Schutzgebiet</w:t>
      </w:r>
    </w:p>
    <w:p>
      <w:r>
        <w:rPr>
          <w:color w:val="555555"/>
          <w:sz w:val="18"/>
        </w:rPr>
        <w:t xml:space="preserve">Verordnung über das Landschaftsschutzgebiet „Hohenleipisch-Sornoer Altmoränenlandschaft“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dieser Verordnung näher bezeichneten</w:t>
      </w:r>
    </w:p>
    <w:p>
      <w:r>
        <w:t xml:space="preserve">Flächen in den Gemeinden Rückersdorf Ortsteil Friedersdorf, Gruhno,</w:t>
      </w:r>
    </w:p>
    <w:p>
      <w:r>
        <w:t xml:space="preserve">Schadewitz, Theisa, Dobra, Kraupa, Dreska, Haida, Hohenleipisch, Elsterwerda,</w:t>
      </w:r>
    </w:p>
    <w:p>
      <w:r>
        <w:t xml:space="preserve">Döllingen, Kahla, Plessa, Gorden, Staupitz, Finsterwalde, Sorno und</w:t>
      </w:r>
    </w:p>
    <w:p>
      <w:r>
        <w:t xml:space="preserve">Oppelhain (Landkreis Elbe-Elster) werden als Landschaftsschutzgebiet</w:t>
      </w:r>
    </w:p>
    <w:p>
      <w:r>
        <w:t xml:space="preserve">festgesetzt. Das Landschaftsschutzgebiet trägt die Bezeichnung</w:t>
      </w:r>
    </w:p>
    <w:p>
      <w:r>
        <w:t xml:space="preserve">"Hohenleipisch-Sornoer Altmoränenlandschaft".</w:t>
      </w:r>
    </w:p>
    <w:p>
      <w:r>
        <w:rPr>
          <w:color w:val="555555"/>
          <w:sz w:val="17"/>
        </w:rPr>
        <w:t xml:space="preserve">Zitiervorschlag: § 1 VO-ID212830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https://recht.nulegal.eu/gesetze/VO-ID212830/1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