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VO-ID212829 (Brandenburg) — Ordnungswidrigkeiten</w:t>
      </w:r>
    </w:p>
    <w:p>
      <w:r>
        <w:rPr>
          <w:color w:val="555555"/>
          <w:sz w:val="18"/>
        </w:rPr>
        <w:t xml:space="preserve">Verordnung über das Landschaftsschutzgebiet „Rückersdorf-Drößiger Heidelandschaft“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</w:t>
      </w:r>
    </w:p>
    <w:p>
      <w:r>
        <w:t xml:space="preserve">den Vorschriften des § 4 Abs. 1 Nr. 1 bis 8 zuwiderhandelt;</w:t>
      </w:r>
    </w:p>
    <w:p>
      <w:r>
        <w:t xml:space="preserve">Handlungen ohne die nach § 4 Abs. 2 Satz 2 Nr. 1 bis 12 erforderliche Genehmigung vornimmt;</w:t>
      </w:r>
    </w:p>
    <w:p>
      <w:r>
        <w:t xml:space="preserve">den Maßgaben des § 5 Abs. 1 Nr. 1 bis 5 zuwiderhandelt.</w:t>
      </w:r>
    </w:p>
    <w:p>
      <w:r>
        <w:t xml:space="preserve">(2) Ordnungswidrigkeiten nach Absatz 1 können gemäß § 74 des Brandenburgischen Naturschutzgesetzes mit einer Geldbuße bis zu hunderttausend Deutsche Mark geahndet werden.</w:t>
      </w:r>
    </w:p>
    <w:p>
      <w:r>
        <w:rPr>
          <w:color w:val="555555"/>
          <w:sz w:val="17"/>
        </w:rPr>
        <w:t xml:space="preserve">Zitiervorschlag: § 8 VO-ID212829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https://recht.nulegal.eu/gesetze/VO-ID212829/8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