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VO-ID212829 (Brandenburg) — Schutzzweck</w:t>
      </w:r>
    </w:p>
    <w:p>
      <w:r>
        <w:rPr>
          <w:color w:val="555555"/>
          <w:sz w:val="18"/>
        </w:rPr>
        <w:t xml:space="preserve">Verordnung über das Landschaftsschutzgebiet „Rückersdorf-Drößiger Heidelandschaft“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des Landschaftsschutzgebietes ist</w:t>
      </w:r>
    </w:p>
    <w:p>
      <w:r>
        <w:t xml:space="preserve">die Bewahrung und Entwicklung der Vielfalt, Eigenart und Schönheit des eiszeitlich geprägten Landschaftsbildes, insbesondere</w:t>
      </w:r>
    </w:p>
    <w:p>
      <w:r>
        <w:t xml:space="preserve">eines für das Kirchhain-Finsterwalder Becken repräsentativen Mosaiks von Wald-, Acker- und Wiesenlandschaften mit naturnahen Bachläufen, Teichen und Binnendünen,</w:t>
      </w:r>
    </w:p>
    <w:p>
      <w:r>
        <w:t xml:space="preserve">einer historisch gewachsenen Kulturlandschaft mit ihrer typischen Siedlungsstruktur und einem geringen Grad an Bebauung und Verkehrserschließung sowie charakteristischen Landschaftselementen wie Tagebaurestseen, des Steinbruches bei Lugau und Feldgehölzen;</w:t>
      </w:r>
    </w:p>
    <w:p>
      <w:r>
        <w:t xml:space="preserve">die Erhaltung und Wiederherstellung des Naturhaushaltes und seiner Leistungsfähigkeit, insbesondere</w:t>
      </w:r>
    </w:p>
    <w:p>
      <w:r>
        <w:t xml:space="preserve">der Funktionsfähigkeit unbelasteter Böden durch Sicherung und Förderung der natürlichen Vielfalt der Bodeneigenschaften und des Bodenlebens, insbesondere durch den Schutz vor Abtragung, Überbauung und Erosion,</w:t>
      </w:r>
    </w:p>
    <w:p>
      <w:r>
        <w:t xml:space="preserve">der Funktionsfähigkeit des Wasserhaushaltes durch Sicherung und Wiederherstellung von weitgehend unbeeinträchtigten Grund- und Oberflächengewässern sowie durch Entwicklung von fließenden Gewässern, Tagebaurestseen und Teichen zu naturnahen Lebensräumen und der Verbesserung der Wasserqualität,</w:t>
      </w:r>
    </w:p>
    <w:p>
      <w:r>
        <w:t xml:space="preserve">der Optimierung der Entlastungswirkung unterschiedlicher Landschaftstypen, vor allem der Wälder, in ihrer Bedeutung für das Regionalklima und als Frischluftentstehungsgebiet,</w:t>
      </w:r>
    </w:p>
    <w:p>
      <w:r>
        <w:t xml:space="preserve">der weitgehend naturnahen, strukturreichen Waldgesellschaften wie Kiefern-Mischwäldern, Erlenbrüche, bachbegleitenden Erlen-Eschen-Wäldern, der autochthonen Vorkommen der Tieflandfichte sowie Restvorkommen der Rotbuche,</w:t>
      </w:r>
    </w:p>
    <w:p>
      <w:r>
        <w:t xml:space="preserve">der Landschaftsprägenden Binnendünen mit ihrem Wechsel von Wald- und Offenstandorten als Lebensraum für wärmeliebende Tier- und Pflanzenarten und der seltenen und gefährdeten Vegetationstypen und Biotope, wie z.B. Feuchtwiesen, Moor- und Zwergstrauchheiden, Torfmoosmoore, Seggenriede und Röhrichte;</w:t>
      </w:r>
    </w:p>
    <w:p>
      <w:r>
        <w:t xml:space="preserve">die Erhaltung und Entwicklung des Gebietes für eine naturorientierte Erholung auf der Grundlage eines natur verträglichen und gelenkten Tourismus.</w:t>
      </w:r>
    </w:p>
    <w:p>
      <w:r>
        <w:rPr>
          <w:color w:val="555555"/>
          <w:sz w:val="17"/>
        </w:rPr>
        <w:t xml:space="preserve">Zitiervorschlag: § 3 VO-ID212829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https://recht.nulegal.eu/gesetze/VO-ID212829/3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