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VO-ID212829 (Brandenburg) — Geltendmachen von Form und Verfahrensmängeln</w:t>
      </w:r>
    </w:p>
    <w:p>
      <w:r>
        <w:rPr>
          <w:color w:val="555555"/>
          <w:sz w:val="18"/>
        </w:rPr>
        <w:t xml:space="preserve">Verordnung über das Landschaftsschutzgebiet „Rückersdorf-Drößiger Heidelandschaft“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https://recht.nulegal.eu/gesetze/VO-ID212829/10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