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VO-ID212789 (Brandenburg) — Inkrafttreten, Außerkrafttreten</w:t>
      </w:r>
    </w:p>
    <w:p>
      <w:r>
        <w:rPr>
          <w:color w:val="555555"/>
          <w:sz w:val="18"/>
        </w:rPr>
        <w:t xml:space="preserve">Verordnung zur Festsetzung des Wasserschutzgebietes für das Wasserwerk Rehbrücke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 Verordnung tritt am Tag nach der Verkündung in Kraft. Ausgenommen davon sind die Maßgaben zur landwirtschaftlichen Bodennutzung nach § 5 Nummer 1, 5, 6 und 7, die am 1. Januar 2014 in Kraft treten.</w:t>
      </w:r>
    </w:p>
    <w:p>
      <w:r>
        <w:t xml:space="preserve">(2) Gleichzeitig tritt das mit den folgenden Beschlüssen</w:t>
      </w:r>
    </w:p>
    <w:p>
      <w:r>
        <w:t xml:space="preserve">Beschluss Nummer 0122 vom 20. Dezember 1973 des Rates des Kreises Potsdam,</w:t>
      </w:r>
    </w:p>
    <w:p>
      <w:r>
        <w:t xml:space="preserve">Beschluss Nummer 84-13/81 vom 6. Mai 1981 des Kreistages Potsdam,</w:t>
      </w:r>
    </w:p>
    <w:p>
      <w:r>
        <w:t xml:space="preserve">Beschluss vom 19. Dezember 1985 der Stadtverordnetenversammlung der Stadt Potsdam,</w:t>
      </w:r>
    </w:p>
    <w:p>
      <w:r>
        <w:t xml:space="preserve">Beschluss Nummer 0127 vom 22. September 1988 des Rates des Kreises Potsdam und</w:t>
      </w:r>
    </w:p>
    <w:p>
      <w:r>
        <w:t xml:space="preserve">Beschluss Nummer 185-26/88 vom 22. Dezember 1988 des Kreistages Potsdam</w:t>
      </w:r>
    </w:p>
    <w:p>
      <w:r>
        <w:t xml:space="preserve">festgesetzte Trinkwasserschutzgebiet Rehbrücke außer Kraft.</w:t>
      </w:r>
    </w:p>
    <w:p>
      <w:r>
        <w:t xml:space="preserve">Potsdam, den 27. November 2013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13 VO-ID212789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https://recht.nulegal.eu/gesetze/VO-ID212789/13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