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VO-ID212751 (Brandenburg) — Inkrafttreten</w:t>
      </w:r>
    </w:p>
    <w:p>
      <w:r>
        <w:rPr>
          <w:color w:val="555555"/>
          <w:sz w:val="18"/>
        </w:rPr>
        <w:t xml:space="preserve">Verordnung über das Naturschutzgebiet „Damerower Wald, Schlepkower Wald und Jagenbruch“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§ 5 Absatz 1 Nummer 1 Buchstabe a, b und c tritt am 1. Januar 2014 in Kraft. Im</w:t>
      </w:r>
    </w:p>
    <w:p>
      <w:r>
        <w:t xml:space="preserve">Übrigen tritt diese Verordnung</w:t>
      </w:r>
    </w:p>
    <w:p>
      <w:r>
        <w:t xml:space="preserve">am Tag nach der Verkündung in Kraft.</w:t>
      </w:r>
    </w:p>
    <w:p>
      <w:r>
        <w:t xml:space="preserve">Potsdam, den 11. Juni 2013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11 VO-ID212751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https://recht.nulegal.eu/gesetze/VO-ID212751/11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