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VO-ID212735 (Brandenburg)</w:t>
      </w:r>
    </w:p>
    <w:p>
      <w:r>
        <w:rPr>
          <w:color w:val="555555"/>
          <w:sz w:val="18"/>
        </w:rPr>
        <w:t xml:space="preserve">Verordnung über das Naturschutzgebiet „Schwemmpfuhl“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Auf Grund des § 22 Absatz 1</w:t>
      </w:r>
    </w:p>
    <w:p>
      <w:r>
        <w:t xml:space="preserve">und 2, des § 23 und des § 32 Absatz 2 und 3 des Bundesnaturschutzgesetzes vom</w:t>
      </w:r>
    </w:p>
    <w:p>
      <w:r>
        <w:t xml:space="preserve">29. Juli 2009 (BGBl. I S. 2542) in Verbindung mit § 19 Absatz 1 und 2 und § 21</w:t>
      </w:r>
    </w:p>
    <w:p>
      <w:r>
        <w:t xml:space="preserve">Absatz 1 Satz 2 des Brandenburgischen Naturschutzgesetzes in der Fassung der</w:t>
      </w:r>
    </w:p>
    <w:p>
      <w:r>
        <w:t xml:space="preserve">Bekanntmachung vom 26. Mai 2004 (GVBl. I S. 350) verordnet die Ministerin für</w:t>
      </w:r>
    </w:p>
    <w:p>
      <w:r>
        <w:t xml:space="preserve">Umwelt, Gesundheit und Verbraucherschutz:</w:t>
      </w:r>
    </w:p>
    <w:p>
      <w:r>
        <w:t xml:space="preserve">§ 1</w:t>
      </w:r>
    </w:p>
    <w:p>
      <w:r>
        <w:t xml:space="preserve">Erklärung zum Schutzgebiet</w:t>
      </w:r>
    </w:p>
    <w:p>
      <w:r>
        <w:t xml:space="preserve">Die in § 2 näher bezeichnete</w:t>
      </w:r>
    </w:p>
    <w:p>
      <w:r>
        <w:t xml:space="preserve">Fläche im Landkreis Uckermark wird als Naturschutzgebiet festgesetzt. Das</w:t>
      </w:r>
    </w:p>
    <w:p>
      <w:r>
        <w:t xml:space="preserve">Naturschutzgebiet trägt die Bezeichnung „Schwemmpfuhl“.</w:t>
      </w:r>
    </w:p>
    <w:p>
      <w:r>
        <w:t xml:space="preserve">§ 2</w:t>
      </w:r>
    </w:p>
    <w:p>
      <w:r>
        <w:t xml:space="preserve">Schutzgegenstand</w:t>
      </w:r>
    </w:p>
    <w:p>
      <w:r>
        <w:t xml:space="preserve">(1) Das Naturschutzgebiet</w:t>
      </w:r>
    </w:p>
    <w:p>
      <w:r>
        <w:t xml:space="preserve">hat eine Größe von rund 126 Hektar. Es umfasst Flächen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Gerswalde</w:t>
      </w:r>
    </w:p>
    <w:p>
      <w:r>
        <w:t xml:space="preserve">Gerswalde</w:t>
      </w:r>
    </w:p>
    <w:p>
      <w:r>
        <w:t xml:space="preserve">1;</w:t>
      </w:r>
    </w:p>
    <w:p>
      <w:r>
        <w:t xml:space="preserve">Gerswalde</w:t>
      </w:r>
    </w:p>
    <w:p>
      <w:r>
        <w:t xml:space="preserve">Kaakstedt</w:t>
      </w:r>
    </w:p>
    <w:p>
      <w:r>
        <w:t xml:space="preserve">1, 2.</w:t>
      </w:r>
    </w:p>
    <w:p>
      <w:r>
        <w:t xml:space="preserve">Eine Kartenskizze zur</w:t>
      </w:r>
    </w:p>
    <w:p>
      <w:r>
        <w:t xml:space="preserve">Orientierung über die Lage des Naturschutzgebietes ist dieser Verordnung als</w:t>
      </w:r>
    </w:p>
    <w:p>
      <w:r>
        <w:t xml:space="preserve">Anlage 1 beigefügt.</w:t>
      </w:r>
    </w:p>
    <w:p>
      <w:r>
        <w:t xml:space="preserve">(2) Die Grenze des</w:t>
      </w:r>
    </w:p>
    <w:p>
      <w:r>
        <w:t xml:space="preserve">Naturschutzgebietes ist in den in Anlage 2 dieser Verordnung aufgeführten Karten</w:t>
      </w:r>
    </w:p>
    <w:p>
      <w:r>
        <w:t xml:space="preserve">mit ununterbrochener roter Linie eingezeichnet; als Grenze gilt der innere Rand</w:t>
      </w:r>
    </w:p>
    <w:p>
      <w:r>
        <w:t xml:space="preserve">dieser Linie. Die in Anlage 2 Nummer 1 aufgeführte topografische Karte im</w:t>
      </w:r>
    </w:p>
    <w:p>
      <w:r>
        <w:t xml:space="preserve">Maßstab 1 : 10 000 ermöglicht die Verortung im Gelände. Maßgeblich für den</w:t>
      </w:r>
    </w:p>
    <w:p>
      <w:r>
        <w:t xml:space="preserve">Grenzverlauf ist die Einzeichnung in den in Anlage 2 Nummer 2 mit den</w:t>
      </w:r>
    </w:p>
    <w:p>
      <w:r>
        <w:t xml:space="preserve">Blattnummern 01 bis 03 aufgeführten Liegenschaftskarten. Zur Orientierung über</w:t>
      </w:r>
    </w:p>
    <w:p>
      <w:r>
        <w:t xml:space="preserve">die betroffenen Grundstücke ist eine Flurstücksliste als Anlage 3 beigefügt.</w:t>
      </w:r>
    </w:p>
    <w:p>
      <w:r>
        <w:t xml:space="preserve">(3) Innerhalb des</w:t>
      </w:r>
    </w:p>
    <w:p>
      <w:r>
        <w:t xml:space="preserve">Naturschutzgebietes ist eine Zone 1 mit weiter gehenden Regelungen der</w:t>
      </w:r>
    </w:p>
    <w:p>
      <w:r>
        <w:t xml:space="preserve">Grünlandnutzung festgelegt. Die Zone 1 umfasst rund 37 Hektar und liegt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Gerswalde</w:t>
      </w:r>
    </w:p>
    <w:p>
      <w:r>
        <w:t xml:space="preserve">Gerswalde</w:t>
      </w:r>
    </w:p>
    <w:p>
      <w:r>
        <w:t xml:space="preserve">1;</w:t>
      </w:r>
    </w:p>
    <w:p>
      <w:r>
        <w:t xml:space="preserve">Gerswalde</w:t>
      </w:r>
    </w:p>
    <w:p>
      <w:r>
        <w:t xml:space="preserve">Kaakstedt</w:t>
      </w:r>
    </w:p>
    <w:p>
      <w:r>
        <w:t xml:space="preserve">1.</w:t>
      </w:r>
    </w:p>
    <w:p>
      <w:r>
        <w:t xml:space="preserve">Die Grenze der Zone 1 ist in</w:t>
      </w:r>
    </w:p>
    <w:p>
      <w:r>
        <w:t xml:space="preserve">der in Anlage 2 Nummer 1 genannten topografischen Karte sowie in den in Anlage 2</w:t>
      </w:r>
    </w:p>
    <w:p>
      <w:r>
        <w:t xml:space="preserve">Nummer 2 genannten Liegenschaftskarten mit ununterbrochener roter Linie</w:t>
      </w:r>
    </w:p>
    <w:p>
      <w:r>
        <w:t xml:space="preserve">eingezeichnet. Als Grenze gilt der innere Rand dieser Linie. Maßgeblich für den</w:t>
      </w:r>
    </w:p>
    <w:p>
      <w:r>
        <w:t xml:space="preserve">Grenzverlauf ist die Einzeichnung in den Liegenschaftskarten.</w:t>
      </w:r>
    </w:p>
    <w:p>
      <w:r>
        <w:t xml:space="preserve">(4) Die Verordnung mit</w:t>
      </w:r>
    </w:p>
    <w:p>
      <w:r>
        <w:t xml:space="preserve">Karten kann bei dem für Naturschutz und Landschaftspflege zuständigen</w:t>
      </w:r>
    </w:p>
    <w:p>
      <w:r>
        <w:t xml:space="preserve">Fachministerium des Landes Brandenburg, oberste Naturschutzbehörde, in Potsdam</w:t>
      </w:r>
    </w:p>
    <w:p>
      <w:r>
        <w:t xml:space="preserve">sowie beim Landkreis Uckermark, untere Naturschutzbehörde, von jedermann während</w:t>
      </w:r>
    </w:p>
    <w:p>
      <w:r>
        <w:t xml:space="preserve">der Dienstzeiten kostenlos eingesehen werden.</w:t>
      </w:r>
    </w:p>
    <w:p>
      <w:r>
        <w:t xml:space="preserve">§ 3</w:t>
      </w:r>
    </w:p>
    <w:p>
      <w:r>
        <w:t xml:space="preserve">Schutzzweck</w:t>
      </w:r>
    </w:p>
    <w:p>
      <w:r>
        <w:t xml:space="preserve">(1) Schutzzweck des</w:t>
      </w:r>
    </w:p>
    <w:p>
      <w:r>
        <w:t xml:space="preserve">Naturschutzgebietes, das ein Mosaik verschiedener Offenlandbiotope mit</w:t>
      </w:r>
    </w:p>
    <w:p>
      <w:r>
        <w:t xml:space="preserve">eingestreuten Kleingewässern und Gehölzstrukturen in einer reliefreichen</w:t>
      </w:r>
    </w:p>
    <w:p>
      <w:r>
        <w:t xml:space="preserve">jungpleistozänen Grund- und Endmoränenlandschaft umfasst, ist</w:t>
      </w:r>
    </w:p>
    <w:p>
      <w:r>
        <w:t xml:space="preserve">die Erhaltung,</w:t>
      </w:r>
    </w:p>
    <w:p>
      <w:r>
        <w:t xml:space="preserve">Wiederherstellung und Entwicklung des Gebietes als Lebensraum wild lebender</w:t>
      </w:r>
    </w:p>
    <w:p>
      <w:r>
        <w:t xml:space="preserve">Pflanzengesellschaften, insbesondere der Trocken- und Halbtrockenrasen, des</w:t>
      </w:r>
    </w:p>
    <w:p>
      <w:r>
        <w:t xml:space="preserve">frischen bis feuchten Grünlandes, der feuchten und trockenwarmen</w:t>
      </w:r>
    </w:p>
    <w:p>
      <w:r>
        <w:t xml:space="preserve">Hochstaudenfluren, der Kleingewässer, der Schwimmblattfluren, der Röhrichte, der</w:t>
      </w:r>
    </w:p>
    <w:p>
      <w:r>
        <w:t xml:space="preserve">Feldgehölze, der Laubgebüsche und der naturnahen Wälder;</w:t>
      </w:r>
    </w:p>
    <w:p>
      <w:r>
        <w:t xml:space="preserve">die Erhaltung und</w:t>
      </w:r>
    </w:p>
    <w:p>
      <w:r>
        <w:t xml:space="preserve">Entwicklung der Lebensstätten wild lebender Pflanzenarten, darunter im Sinne von</w:t>
      </w:r>
    </w:p>
    <w:p>
      <w:r>
        <w:t xml:space="preserve">§ 10 Absatz 2 Nummer 10 des Bundesnaturschutzgesetzes besonders geschützte</w:t>
      </w:r>
    </w:p>
    <w:p>
      <w:r>
        <w:t xml:space="preserve">Arten, insbesondere Wiesenschlüsselblume (Primula veris), Kartäusernelke</w:t>
      </w:r>
    </w:p>
    <w:p>
      <w:r>
        <w:t xml:space="preserve">(Dianthus carthusianorum), Ähriger Blauweiderich (Veronica spicata), Gemeine</w:t>
      </w:r>
    </w:p>
    <w:p>
      <w:r>
        <w:t xml:space="preserve">Grasnelke (Armeria maritima ssp. elongata), Sandstrohblume (Helichrysum</w:t>
      </w:r>
    </w:p>
    <w:p>
      <w:r>
        <w:t xml:space="preserve">arenarium), Körnchensteinbrech (Saxifraga granulata) und Wasserschwertlilie</w:t>
      </w:r>
    </w:p>
    <w:p>
      <w:r>
        <w:t xml:space="preserve">(Iris pseudacorus) sowie Strauchflechten der Gattung Cladonia;</w:t>
      </w:r>
    </w:p>
    <w:p>
      <w:r>
        <w:t xml:space="preserve">die Erhaltung und</w:t>
      </w:r>
    </w:p>
    <w:p>
      <w:r>
        <w:t xml:space="preserve">Entwicklung des Gebietes als Lebens- und Rückzugsraum sowie potenzielles</w:t>
      </w:r>
    </w:p>
    <w:p>
      <w:r>
        <w:t xml:space="preserve">Wiederausbreitungszentrum wild lebender Tierarten, insbesondere der Säugetiere,</w:t>
      </w:r>
    </w:p>
    <w:p>
      <w:r>
        <w:t xml:space="preserve">Vögel, Amphibien, Reptilien, Fische und Insekten, darunter im Sinne von § 7</w:t>
      </w:r>
    </w:p>
    <w:p>
      <w:r>
        <w:t xml:space="preserve">Absatz 2 Nummer 13 und 14 des Bundesnaturschutzgesetzes besonders und streng</w:t>
      </w:r>
    </w:p>
    <w:p>
      <w:r>
        <w:t xml:space="preserve">geschützte Arten, insbesondere Wasserfledermaus (Myotis daubentonii), Neuntöter</w:t>
      </w:r>
    </w:p>
    <w:p>
      <w:r>
        <w:t xml:space="preserve">(Lanius collurio), Bekassine (Gallinago gallinago), Rothalstaucher (Podiceps</w:t>
      </w:r>
    </w:p>
    <w:p>
      <w:r>
        <w:t xml:space="preserve">griseigena), Ringelnatter (Natrix natrix), Laubfrosch (Hyla arborea),</w:t>
      </w:r>
    </w:p>
    <w:p>
      <w:r>
        <w:t xml:space="preserve">Knoblauchkröte (Pelobates fuscus) und Schwalbenschwanz</w:t>
      </w:r>
    </w:p>
    <w:p>
      <w:r>
        <w:t xml:space="preserve">(Papilio machaon);</w:t>
      </w:r>
    </w:p>
    <w:p>
      <w:r>
        <w:t xml:space="preserve">die Erhaltung der unter Nummer 1 aufgeführten Lebensräume zur Umweltbeobachtung und wissenschaftlichen Untersuchung ökologischer Zusammenhänge;</w:t>
      </w:r>
    </w:p>
    <w:p>
      <w:r>
        <w:t xml:space="preserve">die Erhaltung der besonderen Eigenart und hervorragenden Schönheit der von vielfältigen Grünlandflächen, gliedernden Hecken und Feldgehölzen, Lesesteinhaufen sowie unterschiedlich ausgebildeten Kleingewässern geprägten Hügellandschaft;</w:t>
      </w:r>
    </w:p>
    <w:p>
      <w:r>
        <w:t xml:space="preserve">die Erhaltung und Entwicklung des Gebietes als Trittstein im regionalen Biotopverbund der Trockenrasen westlich der Uckerseen.</w:t>
      </w:r>
    </w:p>
    <w:p>
      <w:r>
        <w:t xml:space="preserve">(2) Die</w:t>
      </w:r>
    </w:p>
    <w:p>
      <w:r>
        <w:t xml:space="preserve">Unterschutzstellung dient der Erhaltung und Entwicklung eines Teiles des</w:t>
      </w:r>
    </w:p>
    <w:p>
      <w:r>
        <w:t xml:space="preserve">Gebietes von gemeinschaftlicher Bedeutung „Schwemmpfuhl“ (§ 7 Absatz 1 Nummer 6 des</w:t>
      </w:r>
    </w:p>
    <w:p>
      <w:r>
        <w:t xml:space="preserve">Bundesnaturschutzgesetzes) mit seinen Vorkommen von</w:t>
      </w:r>
    </w:p>
    <w:p>
      <w:r>
        <w:t xml:space="preserve">Mageren Flachland-Mähwiesen (Alopecurus pratensis, Sanguisorba officinalis) und Natürlichen eutrophen Seen mit einer Vegetation des Magnopotamions oder Hydrocharitions als Biotope von gemeinschaftlichem Interesse („natürliche Lebensraumtypen“ im Sinne des Anhangs I der Richtlinie 92/43/EWG);</w:t>
      </w:r>
    </w:p>
    <w:p>
      <w:r>
        <w:t xml:space="preserve">Trockenen, kalkreichen Sandrasen und Subpannonischen Steppentrockenrasen (Festucetalia vallesiacae) als prioritäre Biotope („prioritäre Lebensraumtypen“ im Sinne des Anhangs I der Richtlinie 92/43/EWG);</w:t>
      </w:r>
    </w:p>
    <w:p>
      <w:r>
        <w:t xml:space="preserve">Fischotter (Lutra lutra), Rotbauchunke (Bombina bombina) und Kamm-Molch (Triturus cristatus) als Tierarten von gemeinschaftlichem Interesse (im Sinne des Anhangs II der Richtlinie 92/43/EWG) einschließlich ihrer für Fortpflanzung, Ernährung, Wanderung und Überwinterung wichtigen Lebensräume.</w:t>
      </w:r>
    </w:p>
    <w:p>
      <w:r>
        <w:t xml:space="preserve">§ 4</w:t>
      </w:r>
    </w:p>
    <w:p>
      <w:r>
        <w:t xml:space="preserve">Verbote</w:t>
      </w:r>
    </w:p>
    <w:p>
      <w:r>
        <w:t xml:space="preserve">(1) Vorbehaltlich der nach</w:t>
      </w:r>
    </w:p>
    <w:p>
      <w:r>
        <w:t xml:space="preserve">§ 5 zulässigen Handlungen sind in dem Naturschutzgebiet gemäß § 23 Absatz 2 des</w:t>
      </w:r>
    </w:p>
    <w:p>
      <w:r>
        <w:t xml:space="preserve">Bundesnaturschutzgesetzes alle Handlungen verboten, die das Gebiet oder seine</w:t>
      </w:r>
    </w:p>
    <w:p>
      <w:r>
        <w:t xml:space="preserve">Bestandteile zerstören, beschädigen, verändern oder nachhaltig stören können.</w:t>
      </w:r>
    </w:p>
    <w:p>
      <w:r>
        <w:t xml:space="preserve">(2) Es ist insbesondere</w:t>
      </w:r>
    </w:p>
    <w:p>
      <w:r>
        <w:t xml:space="preserve">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 ausgenommen ist das Betreten außerhalb von Gewässerufern und Röhrichtflächen zum Zweck der Erholung sowie des nichtgewerblichen Sammelns von Pilzen und Wildfrüchten gemäß § 5 Absatz 1 Nummer 9 nach dem 30. Juni eines jeden Jahres sowie das Betreten während winterlicher Frostperioden für Freizeitaktivitäten wie das Schlittenfahren;</w:t>
      </w:r>
    </w:p>
    <w:p>
      <w:r>
        <w:t xml:space="preserve">außerhalb der dem öffentlichen Verkehr gewidmeten Straßen und Wege sowie außerhalb der nach öffentlichem Straßenrecht oder gemäß § 51 des Brandenburgischen</w:t>
      </w:r>
    </w:p>
    <w:p>
      <w:r>
        <w:t xml:space="preserve">Naturschutzgesetzes als Reitwege markierten Wege zu reiten; § 15 Absatz 6 des</w:t>
      </w:r>
    </w:p>
    <w:p>
      <w:r>
        <w:t xml:space="preserve">Waldgesetzes des Landes Brandenburg bleibt unberührt;</w:t>
      </w:r>
    </w:p>
    <w:p>
      <w:r>
        <w:t xml:space="preserve">mit nicht</w:t>
      </w:r>
    </w:p>
    <w:p>
      <w:r>
        <w:t xml:space="preserve">motorisierten Fahrzeugen außerhalb der Wege sowie mit Kraftfahrzeugen außerhalb</w:t>
      </w:r>
    </w:p>
    <w:p>
      <w:r>
        <w:t xml:space="preserve">der dem öffentlichen Verkehr gewidmeten Straßen und Wege zu fahren oder</w:t>
      </w:r>
    </w:p>
    <w:p>
      <w:r>
        <w:t xml:space="preserve">Fahrzeuge dort abzustellen, zu warten oder zu pflegen. Hinsichtlich des Fahrens</w:t>
      </w:r>
    </w:p>
    <w:p>
      <w:r>
        <w:t xml:space="preserve">mit bespannten Fahrzeugen gelten darüber hinaus die Regelungen des</w:t>
      </w:r>
    </w:p>
    <w:p>
      <w:r>
        <w:t xml:space="preserve">Brandenburgischen Naturschutzgesetzes und des Waldgesetzes des Landes</w:t>
      </w:r>
    </w:p>
    <w:p>
      <w:r>
        <w:t xml:space="preserve">Brandenburg;</w:t>
      </w:r>
    </w:p>
    <w:p>
      <w:r>
        <w:t xml:space="preserve">Modellsport oder</w:t>
      </w:r>
    </w:p>
    <w:p>
      <w:r>
        <w:t xml:space="preserve">ferngesteuerte Modelle zu betreiben oder feste Einrichtungen dafür</w:t>
      </w:r>
    </w:p>
    <w:p>
      <w:r>
        <w:t xml:space="preserve">bereitzuhalten;</w:t>
      </w:r>
    </w:p>
    <w:p>
      <w:r>
        <w:t xml:space="preserve">Hunde frei laufen zu</w:t>
      </w:r>
    </w:p>
    <w:p>
      <w:r>
        <w:t xml:space="preserve">lassen;</w:t>
      </w:r>
    </w:p>
    <w:p>
      <w:r>
        <w:t xml:space="preserve">Be- und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solche aus Abwasser, Klärschlamm und aus Bioabfällen) zum Zwecke</w:t>
      </w:r>
    </w:p>
    <w:p>
      <w:r>
        <w:t xml:space="preserve">der Düngung sowie Abwasser zu sonstigen Zwecken zu lagern, auf- oder</w:t>
      </w:r>
    </w:p>
    <w:p>
      <w:r>
        <w:t xml:space="preserve">auszubringen oder einzuleiten;</w:t>
      </w:r>
    </w:p>
    <w:p>
      <w:r>
        <w:t xml:space="preserve">sonstige Abfälle im</w:t>
      </w:r>
    </w:p>
    <w:p>
      <w:r>
        <w:t xml:space="preserve">Sinne des Kreislaufwirtschafts- und Abfallgesetzes oder sonstige Materialien zu</w:t>
      </w:r>
    </w:p>
    <w:p>
      <w:r>
        <w:t xml:space="preserve">lagern oder sie zu entsorgen;</w:t>
      </w:r>
    </w:p>
    <w:p>
      <w:r>
        <w:t xml:space="preserve">Tiere zu füttern oder</w:t>
      </w:r>
    </w:p>
    <w:p>
      <w:r>
        <w:t xml:space="preserve">Futter bereitzustellen;</w:t>
      </w:r>
    </w:p>
    <w:p>
      <w:r>
        <w:t xml:space="preserve">Tiere auszusetzen oder</w:t>
      </w:r>
    </w:p>
    <w:p>
      <w:r>
        <w:t xml:space="preserve">Pflanzen anzusiedeln;</w:t>
      </w:r>
    </w:p>
    <w:p>
      <w:r>
        <w:t xml:space="preserve">wild lebenden Tieren</w:t>
      </w:r>
    </w:p>
    <w:p>
      <w:r>
        <w:t xml:space="preserve">nachzustellen, sie mutwillig zu beunruhigen, zu fangen, zu verletzen, zu töten</w:t>
      </w:r>
    </w:p>
    <w:p>
      <w:r>
        <w:t xml:space="preserve">oder ihre Entwicklungsformen, Nist-, Brut-, Wohn- oder Zufluchtsstätten der</w:t>
      </w:r>
    </w:p>
    <w:p>
      <w:r>
        <w:t xml:space="preserve">Natur zu entnehmen, zu beschädigen oder zu zerstören;</w:t>
      </w:r>
    </w:p>
    <w:p>
      <w:r>
        <w:t xml:space="preserve">wild lebende Pflanzen</w:t>
      </w:r>
    </w:p>
    <w:p>
      <w:r>
        <w:t xml:space="preserve">oder ihre Teile oder Entwicklungsformen abzuschneiden, abzupflücken, aus- oder</w:t>
      </w:r>
    </w:p>
    <w:p>
      <w:r>
        <w:t xml:space="preserve">abzureißen, auszugraben, zu beschädigen oder zu vernichten;</w:t>
      </w:r>
    </w:p>
    <w:p>
      <w:r>
        <w:t xml:space="preserve">Pflanzenschutzmittel</w:t>
      </w:r>
    </w:p>
    <w:p>
      <w:r>
        <w:t xml:space="preserve">jeder Art anzuwenden;</w:t>
      </w:r>
    </w:p>
    <w:p>
      <w:r>
        <w:t xml:space="preserve">Wiesen, Weiden oder</w:t>
      </w:r>
    </w:p>
    <w:p>
      <w:r>
        <w:t xml:space="preserve">sonstiges Grünland nachzusäen, umzubrechen oder neu anzusäen, wobei bei</w:t>
      </w:r>
    </w:p>
    <w:p>
      <w:r>
        <w:t xml:space="preserve">Narbenschäden eine umbruchlose Nachsaat zulässig ist.</w:t>
      </w:r>
    </w:p>
    <w:p>
      <w:r>
        <w:t xml:space="preserve">§ 5</w:t>
      </w:r>
    </w:p>
    <w:p>
      <w:r>
        <w:t xml:space="preserve">Zulässige Handlungen</w:t>
      </w:r>
    </w:p>
    <w:p>
      <w:r>
        <w:t xml:space="preserve">(1) Ausgenommen von den</w:t>
      </w:r>
    </w:p>
    <w:p>
      <w:r>
        <w:t xml:space="preserve">Verboten des § 4 bleiben folgende Handlungen:</w:t>
      </w:r>
    </w:p>
    <w:p>
      <w:r>
        <w:t xml:space="preserve">die den in § 5</w:t>
      </w:r>
    </w:p>
    <w:p>
      <w:r>
        <w:t xml:space="preserve">Absatz 2 des Bundesnaturschutzgesetzes genannten Grundsätzen der guten</w:t>
      </w:r>
    </w:p>
    <w:p>
      <w:r>
        <w:t xml:space="preserve">fachlichen Praxis entsprechende landwirtschaftliche Bodennutzung in der</w:t>
      </w:r>
    </w:p>
    <w:p>
      <w:r>
        <w:t xml:space="preserve">bisherigen Art und im bisherigen Umfang auf den bisher rechtmäßig dafür</w:t>
      </w:r>
    </w:p>
    <w:p>
      <w:r>
        <w:t xml:space="preserve">genutzten Flächen mit der Maßgabe, dass</w:t>
      </w:r>
    </w:p>
    <w:p>
      <w:r>
        <w:t xml:space="preserve">Grünland außerhalb der</w:t>
      </w:r>
    </w:p>
    <w:p>
      <w:r>
        <w:t xml:space="preserve">Zone 1 als Wiese oder Weide mit einer Besatzdichte von maximal 1,4 Raufutter</w:t>
      </w:r>
    </w:p>
    <w:p>
      <w:r>
        <w:t xml:space="preserve">verwertenden Großvieheinheiten (RGV) pro Hektar im Jahresmittel genutzt wird und</w:t>
      </w:r>
    </w:p>
    <w:p>
      <w:r>
        <w:t xml:space="preserve">§ 4 Absatz 2 Nummer 15 gilt,</w:t>
      </w:r>
    </w:p>
    <w:p>
      <w:r>
        <w:t xml:space="preserve">Grünland in der Zone 1</w:t>
      </w:r>
    </w:p>
    <w:p>
      <w:r>
        <w:t xml:space="preserve">als Wiese oder Weide genutzt wird und die jährliche Zufuhr an</w:t>
      </w:r>
    </w:p>
    <w:p>
      <w:r>
        <w:t xml:space="preserve">Pflanzennährstoffen über Düngemittel inklusive der Exkremente von Weidetieren</w:t>
      </w:r>
    </w:p>
    <w:p>
      <w:r>
        <w:t xml:space="preserve">je Hektar Grünland die Menge nicht überschreitet, die dem Nährstoffäquivalent</w:t>
      </w:r>
    </w:p>
    <w:p>
      <w:r>
        <w:t xml:space="preserve">des Dunganfalls von 1,4 Raufutter verwertenden Großvieheinheiten (RGV)</w:t>
      </w:r>
    </w:p>
    <w:p>
      <w:r>
        <w:t xml:space="preserve">entspricht, ohne chemisch-synthetische Stickstoffdüngemittel, Gülle und</w:t>
      </w:r>
    </w:p>
    <w:p>
      <w:r>
        <w:t xml:space="preserve">Sekundärrohstoffdünger wie zum Beispiel Abwasser, Klärschlamm und Bioabfälle</w:t>
      </w:r>
    </w:p>
    <w:p>
      <w:r>
        <w:t xml:space="preserve">einzusetzen,</w:t>
      </w:r>
    </w:p>
    <w:p>
      <w:r>
        <w:t xml:space="preserve">die Nutzung der Grünlandflächen in der Zone 1 vor dem 16. Juni eines Jahres unzulässig ist,</w:t>
      </w:r>
    </w:p>
    <w:p>
      <w:r>
        <w:t xml:space="preserve">Gehölze in geeigneter Weise gegen Verbiss und sonstige Beschädigungen sowie Ränder von Gewässern wirksam gegen Trittschäden von weidenden Nutztieren geschützt werden,</w:t>
      </w:r>
    </w:p>
    <w:p>
      <w:r>
        <w:t xml:space="preserve">auf Grünland § 4 Absatz 2 Nummer 21 und 22 gilt;</w:t>
      </w:r>
    </w:p>
    <w:p>
      <w:r>
        <w:t xml:space="preserve">die dem in § 5</w:t>
      </w:r>
    </w:p>
    <w:p>
      <w:r>
        <w:t xml:space="preserve">Absatz 3 des Bundesnaturschutzgesetzes genannten Ziel entsprechende</w:t>
      </w:r>
    </w:p>
    <w:p>
      <w:r>
        <w:t xml:space="preserve">forstwirtschaftliche Bodennutzung in der bisherigen Art und im bisherigen Umfang</w:t>
      </w:r>
    </w:p>
    <w:p>
      <w:r>
        <w:t xml:space="preserve">auf den bisher rechtmäßig dafür genutzten Flächen mit der Maßgabe, dass</w:t>
      </w:r>
    </w:p>
    <w:p>
      <w:r>
        <w:t xml:space="preserve">nur Arten der</w:t>
      </w:r>
    </w:p>
    <w:p>
      <w:r>
        <w:t xml:space="preserve">potenziell natürlichen Buchenwaldgesellschaften mittlerer bis armer Standorte</w:t>
      </w:r>
    </w:p>
    <w:p>
      <w:r>
        <w:t xml:space="preserve">(Perlgras-, Flattergras- und Hainrispengras-Hainbuchen-Buchenwald) eingebracht</w:t>
      </w:r>
    </w:p>
    <w:p>
      <w:r>
        <w:t xml:space="preserve">werden dürfen, wobei nur heimische Baumarten in gesellschaftstypischen Anteilen</w:t>
      </w:r>
    </w:p>
    <w:p>
      <w:r>
        <w:t xml:space="preserve">unter Ausschluss eingebürgerter Arten zu verwenden sind,</w:t>
      </w:r>
    </w:p>
    <w:p>
      <w:r>
        <w:t xml:space="preserve">mindestens fünf Stämme</w:t>
      </w:r>
    </w:p>
    <w:p>
      <w:r>
        <w:t xml:space="preserve">je Hektar mit einem Durchmesser von mehr als 40 Zentimetern in 1,30 Meter Höhe</w:t>
      </w:r>
    </w:p>
    <w:p>
      <w:r>
        <w:t xml:space="preserve">über dem Stammfuß bis zum natürlichen Absterben und Zerfall aus der Nutzung</w:t>
      </w:r>
    </w:p>
    <w:p>
      <w:r>
        <w:t xml:space="preserve">genommen sein müssen,</w:t>
      </w:r>
    </w:p>
    <w:p>
      <w:r>
        <w:t xml:space="preserve">stehendes Totholz mit</w:t>
      </w:r>
    </w:p>
    <w:p>
      <w:r>
        <w:t xml:space="preserve">mehr als 35 Zentimetern Stammdurchmesser in 1,30 Meter Höhe über dem Stammfuß</w:t>
      </w:r>
    </w:p>
    <w:p>
      <w:r>
        <w:t xml:space="preserve">nicht gefällt wird und liegendes Totholz an Ort und Stelle verbleibt,</w:t>
      </w:r>
    </w:p>
    <w:p>
      <w:r>
        <w:t xml:space="preserve">das Befahren des</w:t>
      </w:r>
    </w:p>
    <w:p>
      <w:r>
        <w:t xml:space="preserve">Waldes nur auf Waldwegen und Rückegassen erfolgt,</w:t>
      </w:r>
    </w:p>
    <w:p>
      <w:r>
        <w:t xml:space="preserve">§ 4 Absatz 2 Nummer 21</w:t>
      </w:r>
    </w:p>
    <w:p>
      <w:r>
        <w:t xml:space="preserve">gilt;</w:t>
      </w:r>
    </w:p>
    <w:p>
      <w:r>
        <w:t xml:space="preserve">die den in § 5</w:t>
      </w:r>
    </w:p>
    <w:p>
      <w:r>
        <w:t xml:space="preserve">Absatz 4 des Bundesnaturschutzgesetzes genannten Anforderungen in Verbindung mit</w:t>
      </w:r>
    </w:p>
    <w:p>
      <w:r>
        <w:t xml:space="preserve">dem Fischereigesetz für das Land Brandenburg entsprechende</w:t>
      </w:r>
    </w:p>
    <w:p>
      <w:r>
        <w:t xml:space="preserve">fischereiwirtschaftliche Flächennutzung in der bisherigen Art und im bisherigen</w:t>
      </w:r>
    </w:p>
    <w:p>
      <w:r>
        <w:t xml:space="preserve">Umfang auf den bisher rechtmäßig dafür genutzten Flächen mit der Maßgabe, dass</w:t>
      </w:r>
    </w:p>
    <w:p>
      <w:r>
        <w:t xml:space="preserve">§ 4 Absatz 2 Nummer 17</w:t>
      </w:r>
    </w:p>
    <w:p>
      <w:r>
        <w:t xml:space="preserve">gilt,</w:t>
      </w:r>
    </w:p>
    <w:p>
      <w:r>
        <w:t xml:space="preserve">der Fischbesatz nur</w:t>
      </w:r>
    </w:p>
    <w:p>
      <w:r>
        <w:t xml:space="preserve">mit gebietsheimischen Arten erfolgt; § 13 der Brandenburgischen Fischereiordnung</w:t>
      </w:r>
    </w:p>
    <w:p>
      <w:r>
        <w:t xml:space="preserve">bleibt unberührt,</w:t>
      </w:r>
    </w:p>
    <w:p>
      <w:r>
        <w:t xml:space="preserve">Fanggeräte und</w:t>
      </w:r>
    </w:p>
    <w:p>
      <w:r>
        <w:t xml:space="preserve">Fangmittel so einzusetzen oder auszustatten sind, dass eine Gefährdung von</w:t>
      </w:r>
    </w:p>
    <w:p>
      <w:r>
        <w:t xml:space="preserve">Fischottern weitgehend ausgeschlossen ist;</w:t>
      </w:r>
    </w:p>
    <w:p>
      <w:r>
        <w:t xml:space="preserve">die rechtmäßige</w:t>
      </w:r>
    </w:p>
    <w:p>
      <w:r>
        <w:t xml:space="preserve">Ausübung der Angelfischerei mit der Maßgabe, dass § 4 Absatz 2 Nummer 18 gilt</w:t>
      </w:r>
    </w:p>
    <w:p>
      <w:r>
        <w:t xml:space="preserve">und die Angelfischerei vom Ufer aus nur außerhalb des Röhrichtgürtels betrieben</w:t>
      </w:r>
    </w:p>
    <w:p>
      <w:r>
        <w:t xml:space="preserve">wird;</w:t>
      </w:r>
    </w:p>
    <w:p>
      <w:r>
        <w:t xml:space="preserve">für den Bereich der</w:t>
      </w:r>
    </w:p>
    <w:p>
      <w:r>
        <w:t xml:space="preserve">Jagd:</w:t>
      </w:r>
    </w:p>
    <w:p>
      <w:r>
        <w:t xml:space="preserve">die rechtmäßige</w:t>
      </w:r>
    </w:p>
    <w:p>
      <w:r>
        <w:t xml:space="preserve">Ausübung der Jagd mit der Maßgabe, dass</w:t>
      </w:r>
    </w:p>
    <w:p>
      <w:r>
        <w:t xml:space="preserve">aa)</w:t>
      </w:r>
    </w:p>
    <w:p>
      <w:r>
        <w:t xml:space="preserve">die Jagd in der</w:t>
      </w:r>
    </w:p>
    <w:p>
      <w:r>
        <w:t xml:space="preserve">Zeit vom 1. März bis zum 30. Juni eines Jahres ausschließlich vom</w:t>
      </w:r>
    </w:p>
    <w:p>
      <w:r>
        <w:t xml:space="preserve">Ansitz aus erfolgt,</w:t>
      </w:r>
    </w:p>
    <w:p>
      <w:r>
        <w:t xml:space="preserve">bb)</w:t>
      </w:r>
    </w:p>
    <w:p>
      <w:r>
        <w:t xml:space="preserve">die Fallenjagd mit Lebendfallen erfolgt,</w:t>
      </w:r>
    </w:p>
    <w:p>
      <w:r>
        <w:t xml:space="preserve">die Errichtung jagdlicher Einrichtungen zur Ansitzjagd,</w:t>
      </w:r>
    </w:p>
    <w:p>
      <w:r>
        <w:t xml:space="preserve">die Anlage von Kirrungen außerhalb gesetzlich geschützter Biotope und der in § 3 Absatz 2 Nummer 1 und 2 genannten Lebensraumtypen.</w:t>
      </w:r>
    </w:p>
    <w:p>
      <w:r>
        <w:t xml:space="preserve">Im Übrigen bleiben Ablenkfütterungen sowie die Anlage von Ansaatwildwiesen und die Anlage und Unterhaltung von Wildäckern unzulässig. Jagdrechtliche Regelungen nach § 41 des</w:t>
      </w:r>
    </w:p>
    <w:p>
      <w:r>
        <w:t xml:space="preserve">Brandenburgischen Jagdgesetzes bleiben unberührt;</w:t>
      </w:r>
    </w:p>
    <w:p>
      <w:r>
        <w:t xml:space="preserve">die im Sinne des § 10 des Brandenburgischen Straßengesetzes ordnungsgemäße Unterhaltung der dem öffentlichen Verkehr gewidmeten Straßen und Wege sowie die ordnungsgemäße</w:t>
      </w:r>
    </w:p>
    <w:p>
      <w:r>
        <w:t xml:space="preserve">Unterhaltung sonstiger rechtmäßig bestehender Anlagen, sofern sie nicht unter Nummer 8 fallen, jeweils im Einvernehmen mit der unteren Naturschutzbehörde;</w:t>
      </w:r>
    </w:p>
    <w:p>
      <w:r>
        <w:t xml:space="preserve">die im Sinne des § 39 des Wasserhaushaltsgesetzes und des § 78 des Brandenburgischen Wassergesetzes ordnungsgemäße Unterhaltung der Gewässer, soweit sie den in § 3 aufgeführten</w:t>
      </w:r>
    </w:p>
    <w:p>
      <w:r>
        <w:t xml:space="preserve">Schutzgütern nicht entgegensteht. Die Maßnahmen können durch einen abgestimmten Unterhaltungsplan dokumentiert werden;</w:t>
      </w:r>
    </w:p>
    <w:p>
      <w:r>
        <w:t xml:space="preserve">der Betrieb von Anlagen für die öffentliche Wasserversorgung, von Abwasseranlagen, von Messanlagen (Pegel-, Abfluss- und andere Messstellen) und von sonstigen wasserwirtschaftlichen Anlagen. Die Unterhaltung dieser Anlagen bleibt im Einvernehmen mit der unteren Naturschutzbehörde zulässig. Das Einvernehmen über regelmäßig wiederkehrende Unterhaltungsarbeiten kann durch langfristig gültige</w:t>
      </w:r>
    </w:p>
    <w:p>
      <w:r>
        <w:t xml:space="preserve">Vereinbarungen hergestellt werden;</w:t>
      </w:r>
    </w:p>
    <w:p>
      <w:r>
        <w:t xml:space="preserve">das Sammeln von Pilzen und Wildfrüchten in geringen Mengen für den persönlichen Gebrauch jeweils nach</w:t>
      </w:r>
    </w:p>
    <w:p>
      <w:r>
        <w:t xml:space="preserve">dem 30. Juni eines jeden Jahres;</w:t>
      </w:r>
    </w:p>
    <w:p>
      <w:r>
        <w:t xml:space="preserve">die sonstigen bei Inkrafttreten dieser Verordnung auf Grund behördlicher Einzelfallentscheidung</w:t>
      </w:r>
    </w:p>
    <w:p>
      <w:r>
        <w:t xml:space="preserve">rechtmäßig ausgeübten Nutzungen und Befugnisse in der bisherigen Art und im</w:t>
      </w:r>
    </w:p>
    <w:p>
      <w:r>
        <w:t xml:space="preserve">bisherigen Umfang;</w:t>
      </w:r>
    </w:p>
    <w:p>
      <w:r>
        <w:t xml:space="preserve">Maßnahmen zur Untersuchung von altlastverdächtigen Flächen und Verdachtsflächen sowie</w:t>
      </w:r>
    </w:p>
    <w:p>
      <w:r>
        <w:t xml:space="preserve">Maßnahmen der Altlastensanierung und der Sanierung schädlicher</w:t>
      </w:r>
    </w:p>
    <w:p>
      <w:r>
        <w:t xml:space="preserve">Bodenveränderungen gemäß Bundesbodenschutzgesetz sowie Maßnahmen der</w:t>
      </w:r>
    </w:p>
    <w:p>
      <w:r>
        <w:t xml:space="preserve">Munitionsräumung nach Anzeige gemäß § 34 Absatz 6 des Bundesnaturschutzgesetzes</w:t>
      </w:r>
    </w:p>
    <w:p>
      <w:r>
        <w:t xml:space="preserve">bei der unteren Naturschutzbehörde;</w:t>
      </w:r>
    </w:p>
    <w:p>
      <w:r>
        <w:t xml:space="preserve">Schutz-, Pflege-,</w:t>
      </w:r>
    </w:p>
    <w:p>
      <w:r>
        <w:t xml:space="preserve">Entwicklungs- und Wiederherstellungsmaßnahmen, die von der unteren</w:t>
      </w:r>
    </w:p>
    <w:p>
      <w:r>
        <w:t xml:space="preserve">Naturschutzbehörde zugelassen oder angeordnet worden sind;</w:t>
      </w:r>
    </w:p>
    <w:p>
      <w:r>
        <w:t xml:space="preserve">behördliche sowie</w:t>
      </w:r>
    </w:p>
    <w:p>
      <w:r>
        <w:t xml:space="preserve">behördlich angeordnete oder zugelassene Beschilderungen, soweit sie auf den</w:t>
      </w:r>
    </w:p>
    <w:p>
      <w:r>
        <w:t xml:space="preserve">Schutzzweck des Gebietes hinweisen oder als hoheitliche Kennzeichnungen, Orts-</w:t>
      </w:r>
    </w:p>
    <w:p>
      <w:r>
        <w:t xml:space="preserve">oder Verkehrshinweise, Wegemarkierungen oder Warntafeln dienen; darüber hinaus</w:t>
      </w:r>
    </w:p>
    <w:p>
      <w:r>
        <w:t xml:space="preserve">sind nichtamtliche Hinweisschilder zum Fremdenverkehr im Sinne der Richtlinie</w:t>
      </w:r>
    </w:p>
    <w:p>
      <w:r>
        <w:t xml:space="preserve">des Ministeriums für Infrastruktur und Raumordnung zur Aufstellung</w:t>
      </w:r>
    </w:p>
    <w:p>
      <w:r>
        <w:t xml:space="preserve">nichtamtlicher Hinweiszeichen an Bundes-, Landes- und Kreisstraßen im Land</w:t>
      </w:r>
    </w:p>
    <w:p>
      <w:r>
        <w:t xml:space="preserve">Brandenburg (Hinweis-Z.Ri) vom 24. Juli 2007 (ABl. S. 1734) an Straßen und Wegen</w:t>
      </w:r>
    </w:p>
    <w:p>
      <w:r>
        <w:t xml:space="preserve">freigestellt;</w:t>
      </w:r>
    </w:p>
    <w:p>
      <w:r>
        <w:t xml:space="preserve">Maßnahmen, die der</w:t>
      </w:r>
    </w:p>
    <w:p>
      <w:r>
        <w:t xml:space="preserve">Abwehr einer unmittelbar drohenden Gefahr für die öffentliche Sicherheit und</w:t>
      </w:r>
    </w:p>
    <w:p>
      <w:r>
        <w:t xml:space="preserve">Ordnung dienen. Die untere Naturschutzbehörde ist über die getroffenen Maßnahmen</w:t>
      </w:r>
    </w:p>
    <w:p>
      <w:r>
        <w:t xml:space="preserve">unverzüglich zu unterrichten. Sie kann nachträglich ergänzende Anordnungen zur</w:t>
      </w:r>
    </w:p>
    <w:p>
      <w:r>
        <w:t xml:space="preserve">Vereinbarkeit mit dem Schutzzweck treffen.</w:t>
      </w:r>
    </w:p>
    <w:p>
      <w:r>
        <w:t xml:space="preserve">(2) Die in § 4 für das</w:t>
      </w:r>
    </w:p>
    <w:p>
      <w:r>
        <w:t xml:space="preserve">Betreten und Befahren des Naturschutzgebietes enthaltenen Einschränkungen gelten</w:t>
      </w:r>
    </w:p>
    <w:p>
      <w:r>
        <w:t xml:space="preserve">nicht für die Dienstkräfte der Naturschutzbehörden, die zuständigen</w:t>
      </w:r>
    </w:p>
    <w:p>
      <w:r>
        <w:t xml:space="preserve">Naturschutzhelfer und sonstige von den Naturschutzbehörden beauftragte Personen</w:t>
      </w:r>
    </w:p>
    <w:p>
      <w:r>
        <w:t xml:space="preserve">sowie für Dienstkräfte und beauftragte Personen anderer zuständiger Behörden und</w:t>
      </w:r>
    </w:p>
    <w:p>
      <w:r>
        <w:t xml:space="preserve">Einrichtungen, soweit diese in Wahrnehmung ihrer gesetzlichen Aufgaben handeln.</w:t>
      </w:r>
    </w:p>
    <w:p>
      <w:r>
        <w:t xml:space="preserve">Sie gelten unbeschadet anderer Regelungen weiterhin nicht für Eigentümer zur</w:t>
      </w:r>
    </w:p>
    <w:p>
      <w:r>
        <w:t xml:space="preserve">Durchführung von Maßnahmen zur Sicherung des Bestandes und der zulässigen</w:t>
      </w:r>
    </w:p>
    <w:p>
      <w:r>
        <w:t xml:space="preserve">Nutzung des Eigentums sowie für das Betreten und Befahren, soweit dies zur</w:t>
      </w:r>
    </w:p>
    <w:p>
      <w:r>
        <w:t xml:space="preserve">Ausübung der nach Absatz 1 zulässigen Handlungen erforderlich ist. Das</w:t>
      </w:r>
    </w:p>
    <w:p>
      <w:r>
        <w:t xml:space="preserve">Gestattungserfordernis nach § 16 Absatz 2 des Waldgesetzes des Landes</w:t>
      </w:r>
    </w:p>
    <w:p>
      <w:r>
        <w:t xml:space="preserve">Brandenburg bleibt unberührt.</w:t>
      </w:r>
    </w:p>
    <w:p>
      <w:r>
        <w:t xml:space="preserve">§ 6</w:t>
      </w:r>
    </w:p>
    <w:p>
      <w:r>
        <w:t xml:space="preserve">Pflege-, Entwicklungs- und</w:t>
      </w:r>
    </w:p>
    <w:p>
      <w:r>
        <w:t xml:space="preserve">Wiederherstellungsmaßnahmen</w:t>
      </w:r>
    </w:p>
    <w:p>
      <w:r>
        <w:t xml:space="preserve">Folgende Pflege-,</w:t>
      </w:r>
    </w:p>
    <w:p>
      <w:r>
        <w:t xml:space="preserve">Entwicklungs- und Wiederherstellungsmaßnahmen werden als Zielvorgabe benannt:</w:t>
      </w:r>
    </w:p>
    <w:p>
      <w:r>
        <w:t xml:space="preserve">die Trocken- und</w:t>
      </w:r>
    </w:p>
    <w:p>
      <w:r>
        <w:t xml:space="preserve">Halbtrockenrasen sollen nach Möglichkeit mit Schafen und Ziegen beweidet werden;</w:t>
      </w:r>
    </w:p>
    <w:p>
      <w:r>
        <w:t xml:space="preserve">die Beweidung soll entsprechend einem regelmäßig fortzuschreibenden, mit der</w:t>
      </w:r>
    </w:p>
    <w:p>
      <w:r>
        <w:t xml:space="preserve">unteren Naturschutzbehörde abgestimmten Weideplan durchgeführt werden;</w:t>
      </w:r>
    </w:p>
    <w:p>
      <w:r>
        <w:t xml:space="preserve">Kleingewässer sollen</w:t>
      </w:r>
    </w:p>
    <w:p>
      <w:r>
        <w:t xml:space="preserve">in ihrer Habitatfunktion für Rotbauchunke, Kamm-Molch und Laubfrosch erhalten</w:t>
      </w:r>
    </w:p>
    <w:p>
      <w:r>
        <w:t xml:space="preserve">und verbessert werden; dazu sollen unter anderem besonnte Wasserflächen erhalten</w:t>
      </w:r>
    </w:p>
    <w:p>
      <w:r>
        <w:t xml:space="preserve">oder wiederhergestellt werden;</w:t>
      </w:r>
    </w:p>
    <w:p>
      <w:r>
        <w:t xml:space="preserve">der Erhalt der</w:t>
      </w:r>
    </w:p>
    <w:p>
      <w:r>
        <w:t xml:space="preserve">Kleingewässer und die Regeneration der Moorstandorte soll durch abflussmindernde</w:t>
      </w:r>
    </w:p>
    <w:p>
      <w:r>
        <w:t xml:space="preserve">Maßnahmen gesichert werden;</w:t>
      </w:r>
    </w:p>
    <w:p>
      <w:r>
        <w:t xml:space="preserve">die Nutzung des</w:t>
      </w:r>
    </w:p>
    <w:p>
      <w:r>
        <w:t xml:space="preserve">Grünlandes soll mosaikartig erfolgen;</w:t>
      </w:r>
    </w:p>
    <w:p>
      <w:r>
        <w:t xml:space="preserve">bei erforderlichen</w:t>
      </w:r>
    </w:p>
    <w:p>
      <w:r>
        <w:t xml:space="preserve">Nachsaaten von Grünland soll nach Möglichkeit Saatgut standorttypischer, im</w:t>
      </w:r>
    </w:p>
    <w:p>
      <w:r>
        <w:t xml:space="preserve">Naturraum heimischer Arten und Sorten verwendet werden;</w:t>
      </w:r>
    </w:p>
    <w:p>
      <w:r>
        <w:t xml:space="preserve">bei der Anpflanzung</w:t>
      </w:r>
    </w:p>
    <w:p>
      <w:r>
        <w:t xml:space="preserve">von Flurgehölzen und Hecken sollen landschaftstypische und gebietsheimische</w:t>
      </w:r>
    </w:p>
    <w:p>
      <w:r>
        <w:t xml:space="preserve">Arten wie Stiel- und Trauben-Eiche, Rotbuche, Hainbuche, Winter-Linde,</w:t>
      </w:r>
    </w:p>
    <w:p>
      <w:r>
        <w:t xml:space="preserve">Eberesche, Schlehe, Eingriffeliger Weißdorn, Kreuzdorn, Hunds- und Weinrose, an</w:t>
      </w:r>
    </w:p>
    <w:p>
      <w:r>
        <w:t xml:space="preserve">Feuchtstandorten auch Schwarz-Erle, Bruch- und Grau-Weide verwendet werden;</w:t>
      </w:r>
    </w:p>
    <w:p>
      <w:r>
        <w:t xml:space="preserve">es sollen geeignete</w:t>
      </w:r>
    </w:p>
    <w:p>
      <w:r>
        <w:t xml:space="preserve">Einrichtungen zur Besucherlenkung und -information geschaffen werden.</w:t>
      </w:r>
    </w:p>
    <w:p>
      <w:r>
        <w:t xml:space="preserve">§ 7</w:t>
      </w:r>
    </w:p>
    <w:p>
      <w:r>
        <w:t xml:space="preserve">Befreiungen</w:t>
      </w:r>
    </w:p>
    <w:p>
      <w:r>
        <w:t xml:space="preserve">Von den Verboten dieser</w:t>
      </w:r>
    </w:p>
    <w:p>
      <w:r>
        <w:t xml:space="preserve">Verordnung kann die zuständige Naturschutzbehörde auf Antrag gemäß § 67 des</w:t>
      </w:r>
    </w:p>
    <w:p>
      <w:r>
        <w:t xml:space="preserve">Bundesnaturschutzgesetzes Befreiung gewähren.</w:t>
      </w:r>
    </w:p>
    <w:p>
      <w:r>
        <w:t xml:space="preserve">§ 8</w:t>
      </w:r>
    </w:p>
    <w:p>
      <w:r>
        <w:t xml:space="preserve">Ordnungswidrigkeiten</w:t>
      </w:r>
    </w:p>
    <w:p>
      <w:r>
        <w:t xml:space="preserve">(1) Ordnungswidrig im</w:t>
      </w:r>
    </w:p>
    <w:p>
      <w:r>
        <w:t xml:space="preserve">Sinne des § 73 Absatz 2 Nummer 2 des Brandenburgischen Naturschutzgesetzes</w:t>
      </w:r>
    </w:p>
    <w:p>
      <w:r>
        <w:t xml:space="preserve">handelt, wer vorsätzlich oder fahrlässig den Verboten des § 4 oder den Maßgaben</w:t>
      </w:r>
    </w:p>
    <w:p>
      <w:r>
        <w:t xml:space="preserve">des § 5 zuwiderhandelt.</w:t>
      </w:r>
    </w:p>
    <w:p>
      <w:r>
        <w:t xml:space="preserve">(2) Ordnungswidrigkeiten</w:t>
      </w:r>
    </w:p>
    <w:p>
      <w:r>
        <w:t xml:space="preserve">nach Absatz 1 können gemäß § 74 des Brandenburgischen Naturschutzgesetzes mit</w:t>
      </w:r>
    </w:p>
    <w:p>
      <w:r>
        <w:t xml:space="preserve">einer Geldbuße bis zu fünfzigtausend Euro geahndet werden.</w:t>
      </w:r>
    </w:p>
    <w:p>
      <w:r>
        <w:t xml:space="preserve">§ 9</w:t>
      </w:r>
    </w:p>
    <w:p>
      <w:r>
        <w:t xml:space="preserve">Duldungspflicht, Verhältnis</w:t>
      </w:r>
    </w:p>
    <w:p>
      <w:r>
        <w:t xml:space="preserve">zu anderen naturschutzrechtlichen Bestimmungen</w:t>
      </w:r>
    </w:p>
    <w:p>
      <w:r>
        <w:t xml:space="preserve">(1) Die Duldung von</w:t>
      </w:r>
    </w:p>
    <w:p>
      <w:r>
        <w:t xml:space="preserve">Maßnahmen des Naturschutzes und der Landschaftspflege, die zur Ausführung der in</w:t>
      </w:r>
    </w:p>
    <w:p>
      <w:r>
        <w:t xml:space="preserve">dieser Verordnung festgelegten Schutz-, Pflege-, Entwicklungs- und</w:t>
      </w:r>
    </w:p>
    <w:p>
      <w:r>
        <w:t xml:space="preserve">Wiederherstellungsmaßnahmen und zur Verwirklichung des Schutzzwecks erforderlich</w:t>
      </w:r>
    </w:p>
    <w:p>
      <w:r>
        <w:t xml:space="preserve">sind, richtet sich nach § 65 des Bundesnaturschutzgesetzes in Verbindung mit</w:t>
      </w:r>
    </w:p>
    <w:p>
      <w:r>
        <w:t xml:space="preserve">§ 68 des Brandenburgischen Naturschutzgesetzes.</w:t>
      </w:r>
    </w:p>
    <w:p>
      <w:r>
        <w:t xml:space="preserve">(2) Die Vorschriften</w:t>
      </w:r>
    </w:p>
    <w:p>
      <w:r>
        <w:t xml:space="preserve">dieser Verordnung gehen anderen naturschutzrechtlichen Schutzausweisungen im</w:t>
      </w:r>
    </w:p>
    <w:p>
      <w:r>
        <w:t xml:space="preserve">Bereich des in § 2 genannten Gebietes vor.</w:t>
      </w:r>
    </w:p>
    <w:p>
      <w:r>
        <w:t xml:space="preserve">(3) Soweit diese</w:t>
      </w:r>
    </w:p>
    <w:p>
      <w:r>
        <w:t xml:space="preserve">Verordnung keine weiter gehenden Vorschriften enthält, bleiben die Regelungen</w:t>
      </w:r>
    </w:p>
    <w:p>
      <w:r>
        <w:t xml:space="preserve">über gesetzlich geschützte Teile von Natur und Landschaft (insbesondere die</w:t>
      </w:r>
    </w:p>
    <w:p>
      <w:r>
        <w:t xml:space="preserve">§§ 31 bis 33 und § 35 des Brandenburgischen Naturschutzgesetzes, § 30 des</w:t>
      </w:r>
    </w:p>
    <w:p>
      <w:r>
        <w:t xml:space="preserve">Bundesnaturschutzgesetzes), über das Netz „Natura 2000“ (§§ 33 und 34 des</w:t>
      </w:r>
    </w:p>
    <w:p>
      <w:r>
        <w:t xml:space="preserve">Bundesnaturschutzgesetzes) und über den Schutz und die Pflege wild lebender</w:t>
      </w:r>
    </w:p>
    <w:p>
      <w:r>
        <w:t xml:space="preserve">Tier- und Pflanzenarten (§§ 37 bis 47 des Bundesnaturschutzgesetzes) unberührt.</w:t>
      </w:r>
    </w:p>
    <w:p>
      <w:r>
        <w:t xml:space="preserve">§ 10</w:t>
      </w:r>
    </w:p>
    <w:p>
      <w:r>
        <w:t xml:space="preserve">Geltendmachen von Rechtsmängeln</w:t>
      </w:r>
    </w:p>
    <w:p>
      <w:r>
        <w:t xml:space="preserve">Eine Verletzung der in § 28</w:t>
      </w:r>
    </w:p>
    <w:p>
      <w:r>
        <w:t xml:space="preserve">des Brandenburgischen Naturschutzgesetzes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dem für</w:t>
      </w:r>
    </w:p>
    <w:p>
      <w:r>
        <w:t xml:space="preserve">Naturschutz und Landschaftspflege zuständigen Fachministerium geltend gemacht</w:t>
      </w:r>
    </w:p>
    <w:p>
      <w:r>
        <w:t xml:space="preserve">werden. Das Gleiche gilt für Mängel bei der Beschreibung des Schutzzwecks sowie</w:t>
      </w:r>
    </w:p>
    <w:p>
      <w:r>
        <w:t xml:space="preserve">für Mängel bei der Prüfung der Erforderlichkeit der Unterschutzstellung</w:t>
      </w:r>
    </w:p>
    <w:p>
      <w:r>
        <w:t xml:space="preserve">einzelner Flächen. Mängel im Abwägungsvorgang sind nur dann beachtlich, wenn sie</w:t>
      </w:r>
    </w:p>
    <w:p>
      <w:r>
        <w:t xml:space="preserve">offensichtlich und auf das Abwägungsergebnis von Einfluss gewesen sind und die</w:t>
      </w:r>
    </w:p>
    <w:p>
      <w:r>
        <w:t xml:space="preserve">Mängel in der Abwägung innerhalb von vier Jahren nach Inkrafttreten dieser</w:t>
      </w:r>
    </w:p>
    <w:p>
      <w:r>
        <w:t xml:space="preserve">Verordnung unter den in Satz 1 genannten Voraussetzungen geltend gemacht worden</w:t>
      </w:r>
    </w:p>
    <w:p>
      <w:r>
        <w:t xml:space="preserve">sind.</w:t>
      </w:r>
    </w:p>
    <w:p>
      <w:r>
        <w:t xml:space="preserve">§ 11</w:t>
      </w:r>
    </w:p>
    <w:p>
      <w:r>
        <w:t xml:space="preserve">Inkrafttreten</w:t>
      </w:r>
    </w:p>
    <w:p>
      <w:r>
        <w:t xml:space="preserve">§ 5 Absatz 1 Nummer 1</w:t>
      </w:r>
    </w:p>
    <w:p>
      <w:r>
        <w:t xml:space="preserve">Buchstabe a bis c tritt am 1. Juli 2013 in Kraft. Im Übrigen tritt diese</w:t>
      </w:r>
    </w:p>
    <w:p>
      <w:r>
        <w:t xml:space="preserve">Verordnung am Tag nach der Verkündung in Kraft.</w:t>
      </w:r>
    </w:p>
    <w:p>
      <w:r>
        <w:t xml:space="preserve">Potsdam, den 30. April 2013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Volltext VO-ID212735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https://recht.nulegal.eu/gesetze/VO-ID212735/volltext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VO-ID212735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