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VO-ID212723 (Brandenburg) — Zulässige Handlungen</w:t>
      </w:r>
    </w:p>
    <w:p>
      <w:r>
        <w:rPr>
          <w:color w:val="555555"/>
          <w:sz w:val="18"/>
        </w:rPr>
        <w:t xml:space="preserve">Verordnung über das Naturschutzgebiet „Sergen-Kathlower Teich- und Wiesenlandschaft“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Ausgenommen von den Verboten des § 4 bleiben folgende Handlungen:</w:t>
      </w:r>
    </w:p>
    <w:p>
      <w:r>
        <w:t xml:space="preserve">die den in § 5 Absatz 2 des Bundesnaturschutzgesetzes genannten Anforderungen und Grundsätzen der guten fachlichen Praxis entsprechende landwirtschaftliche Bodennutzung in der bisherigen Art und im bisherigen Umfang auf den bisher rechtmäßig dafür genutzten Flächen mit der Maßgabe, dass</w:t>
      </w:r>
    </w:p>
    <w:p>
      <w:r>
        <w:t xml:space="preserve">Gehölze in geeigneter Weise gegen Verbiss und sonstige Beschädigungen sowie Ränder von Gewässern wirksam gegen Trittschäden von weidenden Nutztieren geschützt werden,</w:t>
      </w:r>
    </w:p>
    <w:p>
      <w:r>
        <w:t xml:space="preserve">Grünland in der Zone 1 als Wiese oder Weide genutzt wird und die jährliche Zufuhr an Pflanzennährstoffen über Düngemittel inklusive der Exkremente von Weidetieren je Hektar Grünland die Menge nicht überschreitet, die dem Nährstoffäquivalent des Dunganfalls von 1,4 Raufutter verwertende Großvieheinheiten (RGV) entspricht, ohne chemisch-synthetische Stickstoffdüngemittel, Gülle und Sekundärrohstoffdünger, wie zum Beispiel solche aus Abwasser und Bioabfällen einzusetzen; § 4 Absatz 2 Nummer 23 und 24 gilt;</w:t>
      </w:r>
    </w:p>
    <w:p>
      <w:r>
        <w:t xml:space="preserve">die dem in § 5 Absatz 3 des Bundesnaturschutzgesetzes genannten Ziel entsprechende forstwirtschaftliche Bodennutzung auf den bisher rechtmäßig dafür genutzten Flächen mit der Maßgabe, dass</w:t>
      </w:r>
    </w:p>
    <w:p>
      <w:r>
        <w:t xml:space="preserve">nur Arten der potenziell natürlichen Vegetation eingebracht werden dürfen, wobei nur heimische Baumarten unter Ausschluss eingebürgerter Arten zu verwenden sind,</w:t>
      </w:r>
    </w:p>
    <w:p>
      <w:r>
        <w:t xml:space="preserve">Bäume mit Horsten oder Höhlen nicht gefällt werden,</w:t>
      </w:r>
    </w:p>
    <w:p>
      <w:r>
        <w:t xml:space="preserve">auf den Flächen der in § 3 Absatz 2 genannten Waldlebensraumtypen und sonstiger naturnaher Wälder eine naturnahe Waldentwicklung mit einer Anhebung des Totholzanteils erfolgt; bis zu fünf Stück je Hektar lebensraumtypische, abgestorbene, stehende Bäume (Totholz) mit einem Brusthöhendurchmesser von mindestens 30 Zentimetern ohne Rinde in 1,30 Meter Höhe über dem Stammfuß nicht gefällt werden und liegendes Totholz (mindestens zwei Stück je Hektar mit einem Durchmesser von 65 Zentimetern am stärksten Ende) im Bestand verbleibt,</w:t>
      </w:r>
    </w:p>
    <w:p>
      <w:r>
        <w:t xml:space="preserve">eine Nutzung der in § 3 Absatz 2 genannten Waldlebensraumtypen und der Erlenbruchwälder sowie die Nutzung innerhalb der Zone 2 einzelstamm- bis truppweise durchgeführt wird. In den übrigen Wäldern und Forsten sind Holzerntemaßnahmen, die den Holzvorrat auf einer zusammenhängenden Fläche auf weniger als 40 Prozent des üblichen Vorrats reduzieren, nur bis zu einer Größe von 0,5 Hektar zulässig,</w:t>
      </w:r>
    </w:p>
    <w:p>
      <w:r>
        <w:t xml:space="preserve">in der Zone 2 in der Zeit vom 1. Januar bis zum 31. Juli eines jeden Jahres keine forstwirtschaftlichen Maßnahmen erfolgen;</w:t>
      </w:r>
    </w:p>
    <w:p>
      <w:r>
        <w:t xml:space="preserve">§ 4 Absatz 2 Nummer 17 und 23 gilt;</w:t>
      </w:r>
    </w:p>
    <w:p>
      <w:r>
        <w:t xml:space="preserve">die den in § 5 Absatz 4 des Bundesnaturschutzgesetzes genannten Anforderungen in Verbindung mit dem Fischereigesetz für das Land Brandenburg entsprechende fischereiwirtschaftliche Flächennutzung auf den bisher rechtmäßig dafür genutzten Flächen mit der Maßgabe, dass</w:t>
      </w:r>
    </w:p>
    <w:p>
      <w:r>
        <w:t xml:space="preserve">Fanggeräte und Fangmittel so einzusetzen oder auszustatten sind, dass eine Gefährdung des Fischotters weitgehend ausgeschlossen ist,</w:t>
      </w:r>
    </w:p>
    <w:p>
      <w:r>
        <w:t xml:space="preserve">§ 4 Absatz 2 Nummer 19 gilt;</w:t>
      </w:r>
    </w:p>
    <w:p>
      <w:r>
        <w:t xml:space="preserve">die Teichbewirtschaftung, die den Anforderungen des § 5 Absatz 4 des Bundesnaturschutzgesetzes in Verbindung mit dem Fischereigesetz des Landes Brandenburg entspricht und die im Sinne der guten fachlichen Praxis gemäß den Leitlinien zur naturschutzgerechten Teichwirtschaft in Brandenburg vom 16. März 2011 auf den bisher rechtmäßig dafür genutzten Flächen durchgeführt wird, mit der Maßgabe, dass Fanggeräte und Fangmittel so einzusetzen oder auszustatten sind, dass eine Gefährdung des Fischotters weitgehend ausgeschlossen ist;</w:t>
      </w:r>
    </w:p>
    <w:p>
      <w:r>
        <w:t xml:space="preserve">die Genehmigung von Maßnahmen zur Vergrämung und Tötung von Kormoranen im Bereich der fischereilich genutzten Teiche durch die zuständige Naturschutzbehörde, sofern hierfür die erforderliche artenschutzrechtliche Ausnahmegenehmigung oder Befreiung vorliegt. Die Genehmigung kann mit Auflagen versehen werden; sie ist zu erteilen, wenn der Schutzzweck von der Maßnahme nicht wesentlich beeinträchtigt wird;</w:t>
      </w:r>
    </w:p>
    <w:p>
      <w:r>
        <w:t xml:space="preserve">die rechtmäßige Ausübung der Angelfischerei mit der Maßgabe, dass die Angelfischerei nur an den in der topografischen Karte gemäß § 2 Absatz 2 dargestellten Steganlagen und Angelstellen am Autobahnsee in der Gemarkung Roggosen, Flur 1, Flurstück 391/1 ausgeübt wird. Der Weg für die Zufahrt und der Bereich für das Abstellen von Fahrzeugen sind ebenfalls in der topografischen Karte gemäß § 2 Absatz 2 dargestellt;</w:t>
      </w:r>
    </w:p>
    <w:p>
      <w:r>
        <w:t xml:space="preserve">für den Bereich der Jagd:</w:t>
      </w:r>
    </w:p>
    <w:p>
      <w:r>
        <w:t xml:space="preserve">die rechtmäßige Ausübung der Jagd mit der Maßgabe, dass</w:t>
      </w:r>
    </w:p>
    <w:p>
      <w:r>
        <w:t xml:space="preserve">aa)</w:t>
      </w:r>
    </w:p>
    <w:p>
      <w:r>
        <w:t xml:space="preserve">die Jagd auf Wasservögel in der Teichgruppe Sergen und am Johannesteich vom 1. Oktober eines jeden Jahres bis zum 15. Januar des Folgejahres sowie am Schlossteich und in der Teichgruppe Kathlow vom 15. November eines jeden Jahres bis zum 15. Januar des Folgejahres zulässig ist. Werden Teiche von Gänsen oder Kranichen als Schlafplatz genutzt, bleibt die Wasservogeljagd unzulässig,</w:t>
      </w:r>
    </w:p>
    <w:p>
      <w:r>
        <w:t xml:space="preserve">bb)</w:t>
      </w:r>
    </w:p>
    <w:p>
      <w:r>
        <w:t xml:space="preserve">die Fallenjagd ausschließlich mit Lebendfallen erfolgt,</w:t>
      </w:r>
    </w:p>
    <w:p>
      <w:r>
        <w:t xml:space="preserve">cc)</w:t>
      </w:r>
    </w:p>
    <w:p>
      <w:r>
        <w:t xml:space="preserve">in der Zone 2 in der Zeit vom 1. Januar bis zum 31. Juli eines jeden Jahres die Jagdausübung unzulässig ist, bei Wildschäden bleibt eine Bejagung ohne die Anlage von Kirrungen zulässig,</w:t>
      </w:r>
    </w:p>
    <w:p>
      <w:r>
        <w:t xml:space="preserve">die Errichtung ortsunveränderlicher jagdlicher Einrichtungen zur Ansitzjagd außerhalb der Zone 2 mit Zustimmung der unteren Naturschutzbehörde,</w:t>
      </w:r>
    </w:p>
    <w:p>
      <w:r>
        <w:t xml:space="preserve">die Errichtung transportabler und mobiler Ansitzeinrichtungen,</w:t>
      </w:r>
    </w:p>
    <w:p>
      <w:r>
        <w:t xml:space="preserve">die Anlage von Kirrungen außerhalb der nach § 30 des Bundesnaturschutzgesetzes in Verbindung mit § 32 des Brandenburgischen Naturschutzgesetzes geschützten Biotope.</w:t>
      </w:r>
    </w:p>
    <w:p>
      <w:r>
        <w:t xml:space="preserve">Ablenkfütterungen sowie die Anlage von Ansaatwildwiesen und Wildäckern sind unzulässig, die Unterhaltung der in der topografischen Karte gemäß § 2 Absatz 2 gekennzeichneten Wildäcker bleibt zulässig; im Übrigen bleiben jagdrechtliche Regelungen nach § 41 des Jagdgesetzes für das Land Brandenburg unberührt;</w:t>
      </w:r>
    </w:p>
    <w:p>
      <w:r>
        <w:t xml:space="preserve">die im Sinne des § 10 des Brandenburgischen Straßengesetzes ordnungsgemäße Unterhaltung der dem öffentlichen Verkehr gewidmeten Straßen und Wege sowie die ordnungsgemäße Unterhaltung sonstiger rechtmäßig bestehender Anlagen, sofern sie nicht unter die Nummer 10 fallen, jeweils im Einvernehmen mit der unteren Naturschutzbehörde;</w:t>
      </w:r>
    </w:p>
    <w:p>
      <w:r>
        <w:t xml:space="preserve">die im Sinne des § 39 des Wasserhaushaltsgesetzes und des § 78 des Brandenburgischen Wassergesetzes ordnungsgemäße Unterhaltung der Gewässer, soweit sie den in § 3 aufgeführten Schutzgütern nicht entgegensteht. Die Maßnahmen können durch einen abgestimmten Unterhaltungsplan dokumentiert werden;</w:t>
      </w:r>
    </w:p>
    <w:p>
      <w:r>
        <w:t xml:space="preserve">der Betrieb von Anlagen für die öffentliche Wasserversorgung, von Abwasseranlagen, von Messanlagen (Pegel-, Abfluss- und andere Messstellen) und von sonstigen wasserwirtschaftlichen Anlagen. Die Unterhaltung dieser Anlagen bleibt im Einvernehmen mit der unteren Naturschutzbehörde zulässig; das Einvernehmen über regelmäßig wiederkehrende Unterhaltungsarbeiten kann durch langfristig gültige Vereinbarungen hergestellt werden;</w:t>
      </w:r>
    </w:p>
    <w:p>
      <w:r>
        <w:t xml:space="preserve">die sonstigen bei Inkrafttreten dieser Verordnung auf Grund behördlicher Einzelfallentscheidung rechtmäßig ausgeübten Nutzungen und Befugnisse in der bisherigen Art und im bisherigen Umfang;</w:t>
      </w:r>
    </w:p>
    <w:p>
      <w:r>
        <w:t xml:space="preserve">das Sammeln von Pilzen und Wildfrüchten in geringen Mengen für den persönlichen Gebrauch jeweils nach dem 31. Juli eines jeden Jahres;</w:t>
      </w:r>
    </w:p>
    <w:p>
      <w:r>
        <w:t xml:space="preserve">Maßnahmen zur Untersuchung von altlastverdächtigen Flächen und Verdachtsflächen sowie Maßnahmen der Altlastensanierung und der Sanierung schädlicher Bodenveränderungen gemäß Bundes-Bodenschutzgesetz sowie Maßnahmen der Munitionsräumung im Einvernehmen mit der unteren Naturschutzbehörde;</w:t>
      </w:r>
    </w:p>
    <w:p>
      <w:r>
        <w:t xml:space="preserve">Schutz-, Pflege-, Entwicklungs- und Wiederherstellungsmaßnahmen, die von der unteren Naturschutzbehörde gebilligt oder angeordnet worden sind;</w:t>
      </w:r>
    </w:p>
    <w:p>
      <w:r>
        <w:t xml:space="preserve">behördliche sowie behördlich angeordnete oder zugelassene Beschilderungen, soweit sie auf den Schutzzweck des Gebietes hinweisen oder als hoheitliche Kennzeichnungen, Orts- oder Verkehrshinweise, Wegemarkierungen oder Warntafeln dienen. Darüber hinaus sind nichtamtliche Hinweisschilder zum Fremdenverkehr im Sinne der Richtlinie des Ministeriums für Infrastruktur und Raumordnung zur Aufstellung nichtamtlicher Hinweiszeichen an Bundes-, Landes- und Kreisstraßen im Land Brandenburg (Hinweis-Z.Ri) vom 24. Juli 2007 an Straßen und Wegen freigestellt;</w:t>
      </w:r>
    </w:p>
    <w:p>
      <w:r>
        <w:t xml:space="preserve">Maßnahmen, die der Abwehr einer unmittelbar drohenden Gefahr für die öffentliche Sicherheit und Ordnung dienen. Die untere Naturschutzbehörde ist über die getroffenen Maßnahmen unverzüglich zu unterrichten. Sie kann nachträglich ergänzende Anordnungen zur Vereinbarkeit mit dem Schutzzweck treffen.</w:t>
      </w:r>
    </w:p>
    <w:p>
      <w:r>
        <w:t xml:space="preserve">(2) Die in § 4 für das Betreten und Befahren des Naturschutzgebietes enthaltenen Einschränkungen gelten nicht für die Dienstkräfte der Naturschutzbehörden, die zuständigen Naturschutzhelfer und sonstige von den Naturschutzbehörden beauftragte Personen sowie für Dienstkräfte und beauftragte Personen anderer zuständiger Behörden und Einrichtungen, soweit diese in Wahrnehmung ihrer gesetzlichen Aufgaben handeln. Sie gelten unbeschadet anderer Regelungen weiterhin nicht für Eigentümer zur Durchführung von Maßnahmen zur Sicherung des Bestandes und der zulässigen Nutzung des Eigentums sowie für das Betreten und Befahren, soweit dies zur Ausübung der nach Absatz 1 zulässigen Handlungen erforderlich ist . Das Gestattungserfordernis nach § 16 Absatz 2 des Waldgesetzes des Landes Brandenburg bleibt unberührt.</w:t>
      </w:r>
    </w:p>
    <w:p>
      <w:r>
        <w:rPr>
          <w:color w:val="555555"/>
          <w:sz w:val="17"/>
        </w:rPr>
        <w:t xml:space="preserve">Zitiervorschlag: § 5 VO-ID212723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https://recht.nulegal.eu/gesetze/VO-ID212723/5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