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VO-ID212723 (Brandenburg) — Schutzzweck</w:t>
      </w:r>
    </w:p>
    <w:p>
      <w:r>
        <w:rPr>
          <w:color w:val="555555"/>
          <w:sz w:val="18"/>
        </w:rPr>
        <w:t xml:space="preserve">Verordnung über das Naturschutzgebiet „Sergen-Kathlower Teich- und Wiesenlandschaft“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Schutzzweck des Naturschutzgebietes ist</w:t>
      </w:r>
    </w:p>
    <w:p>
      <w:r>
        <w:t xml:space="preserve">die Erhaltung, Entwicklung und Wiederherstellung der Lebensstätten wild lebender Pflanzengesellschaften, insbesondere der ausgedehnten Röhrichtbestände, Schwimmblattgesellschaften, reichen Feuchtwiesen und Sandtrockenrasen, der Erlenbruchwälder und naturnaher Laub- und Nadelwälder;</w:t>
      </w:r>
    </w:p>
    <w:p>
      <w:r>
        <w:t xml:space="preserve">die Entwicklung des Flechten-Kiefernwaldes auf exponierten Dünenstandorten;</w:t>
      </w:r>
    </w:p>
    <w:p>
      <w:r>
        <w:t xml:space="preserve">die Erhaltung und Entwicklung der Lebensstätten wild lebender Pflanzenarten, darunter im Sinne von § 7 Absatz 2 Nummer 13 und 14 des Bundesnaturschutzgesetzes besonders geschützte Arten, insbesondere Weiße Seerose (Nymphaea alba), Sumpf-Schwertlilie (Iris pseudacorus), Heide-Nelke (Dianthus deltoides) und Niederlausitzer Tieflandfichte (Picea abies);</w:t>
      </w:r>
    </w:p>
    <w:p>
      <w:r>
        <w:t xml:space="preserve">die Erhaltung und Entwicklung des Gebietes als Lebens- und Rückzugsraum sowie potenzielles Wiederausbreitungszentrum wild lebender Tierarten, insbeson­dere der Wasservögel, Limikolen und Greifvögel sowie der Fledermäuse, Amphibien und Reptilien, darunter im Sinne von § 7 Absatz 2 Nummer 13 und 14 des Bundes-naturschutzgesetzes besonders und streng geschützte Arten, insbesondere Kranich (Grus grus), Eisvogel(Alcedo atthis), Zwergdommel (Ixobrychus minutus), Rothalstaucher (Podiceps grisegena), Schwarzstorch(Ciconia nigra), Schwarzmilan (Milvus nigrans), Rotmilan (Milvus milvus), Seeadler (Haliaetus albicilla), Fischadler (Pandion haliaetus), Kreuzkröte (Bufo calamita), Wechselkröte (Bufo viridis), Laubfrosch (Hyla arborea), Knoblauchkröte (Pelobates fuscus), Ringelnatter (Natrix natrix), Zauneidechse (Lacerta agilis);</w:t>
      </w:r>
    </w:p>
    <w:p>
      <w:r>
        <w:t xml:space="preserve">die Erhaltung und Entwicklung der Gewässer als Rast-, Schlaf- und Überwinterungshabitate für Kraniche, Schwäne, Gänse, Taucher und Enten;</w:t>
      </w:r>
    </w:p>
    <w:p>
      <w:r>
        <w:t xml:space="preserve">die Erhaltung des Gebietes wegen der besonderen Eigenart als charakteristische Wiesenlandschaft mit Gehölzgruppen, Teichen, natürlichen Erlen-Eichenwäldern, Stieleichenbeständen und naturnahen Kiefern-Birkenwäldern;</w:t>
      </w:r>
    </w:p>
    <w:p>
      <w:r>
        <w:t xml:space="preserve">die Erhaltung und Entwicklung des Gebietes als wesentlicher Teil des landesweiten Biotopverbundes.</w:t>
      </w:r>
    </w:p>
    <w:p>
      <w:r>
        <w:t xml:space="preserve">(2) Die Unterschutzstellung dient der Erhaltung und Entwicklung des Gebietes von gemeinschaftlicher Bedeutung „Sergen-Kathlower Teich- und Wiesenlandschaft“ (§ 7 Absatz 1 Nummer 7 des Bundesnaturschutzgesetzes) mit seinen Vorkommen von</w:t>
      </w:r>
    </w:p>
    <w:p>
      <w:r>
        <w:t xml:space="preserve">Dünen mit offenen Grasflächen mit Corynephorus und Agrostis (Dünen im Binnenland), Oligo- bis mesotrophen stehenden Gewässern mit Vegetation der Isoeto-Nanojuncetea, Natürlichen eutrophen Seen mit einer Vegetation des Magnopotamions oder Hydrocharitions, Flüssen der planaren bis montanen Stufe mit Vegeta-tion des Ranunculion fluitantis und des Callitricho-Batrachion, Feuchten Hochstaudenfluren der planaren und montanen bis alpinen Stufe, Mageren Flachlandmähwiesen, Subatlantischem oder mitteleuropäischem Stiel-eichenwald oder Hainbuchenwald (Carpinion betuli) (Stellario-Carpinetum), Alten bodensauren Eichenwäldern auf Sandebenen mit Quercus robur und Montanen bis alpinen bodensauren Fichtenwäldern (Vaccinio-Piceetea) als Biotope von gemeinschaftlichem Interesse („natürliche Lebensraumtypen“ im Sinne des Anhang I der Richtlinie 92/43/EWG),</w:t>
      </w:r>
    </w:p>
    <w:p>
      <w:r>
        <w:t xml:space="preserve">Auen-Wäldern mit Alnus glutinosa und Fraxinus excelsior (Alno-Padion, Alnion incanae, Salicion albae) als prioritärer Biotop („prioritärer Lebensraumtyp“ im Sinne des Anhang I der Richtlinie 92/43/EWG),</w:t>
      </w:r>
    </w:p>
    <w:p>
      <w:r>
        <w:t xml:space="preserve">Fischotter (Lutra lutra), Rotbauchunke (Bombina bombina) und Grüner Keiljungfer (Ophiogomphus cecilia) als Tierarten von gemeinschaftlichem Interesse (im Sinne des Anhang II der Richtlinie 92/43/EWG) einschließlich ihrer für Fortpflanzung, Ernährung, Wanderung und Überwinterung wichtigen Lebensräume.</w:t>
      </w:r>
    </w:p>
    <w:p>
      <w:r>
        <w:rPr>
          <w:color w:val="555555"/>
          <w:sz w:val="17"/>
        </w:rPr>
        <w:t xml:space="preserve">Zitiervorschlag: § 3 VO-ID212723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https://recht.nulegal.eu/gesetze/VO-ID212723/3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