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VO-ID212723 (Brandenburg) — Inkrafttreten, Außerkrafttreten</w:t>
      </w:r>
    </w:p>
    <w:p>
      <w:r>
        <w:rPr>
          <w:color w:val="555555"/>
          <w:sz w:val="18"/>
        </w:rPr>
        <w:t xml:space="preserve">Verordnung über das Naturschutzgebiet „Sergen-Kathlower Teich- und Wiesenlandschaft“</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 5 Absatz 1 Nummer 1 Buchstabe b tritt am 1. Juli 2013 in Kraft. Im Übrigen tritt diese Verordnung am Tag nach der Verkündung in Kraft.</w:t>
      </w:r>
    </w:p>
    <w:p>
      <w:r>
        <w:t xml:space="preserve">(2) Gleichzeitig treten außer Kraft:</w:t>
      </w:r>
    </w:p>
    <w:p>
      <w:r>
        <w:t xml:space="preserve">Anordnung Nummer 1 über Naturschutzgebiete vom 30. März 1961 (GBl. II Nr. 27 S. 166), zuletzt geändert durch Anordnung Nummer 4 vom 28. November 1983 (GBl. II Nr. 38 S. 431), als Brandenburgisches Landesrecht für fortgeltend erklärt durch das Gesetz zur Bereinigung des zu Landesrecht gewordenen Rechts der ehemaligen Deutschen Demokratischen Republik vom 3. September 1997 (GVBl. I S. 104), Anordnung über das Naturschutzgebiet „Sergener Luch“ vom 4. Mai 1961 (GBl. II Nr. 27 S. 166);</w:t>
      </w:r>
    </w:p>
    <w:p>
      <w:r>
        <w:t xml:space="preserve">Beschluss Nummer 75/81 des Bezirkstages Cottbus vom 25. Mai 1981 über die Bestätigung von Naturschutzgebieten im Bezirk Cottbus, soweit er sich auf das Gebiet „Sergener Luch“ bezieht.</w:t>
      </w:r>
    </w:p>
    <w:p>
      <w:r>
        <w:t xml:space="preserve">Potsdam, den 12. Februar 2013</w:t>
      </w:r>
    </w:p>
    <w:p>
      <w:r>
        <w:t xml:space="preserve">Die Ministerin für Umwelt,</w:t>
      </w:r>
    </w:p>
    <w:p>
      <w:r>
        <w:t xml:space="preserve">Gesundheit und Verbraucherschutz</w:t>
      </w:r>
    </w:p>
    <w:p>
      <w:r>
        <w:t xml:space="preserve">Anita Tack</w:t>
      </w:r>
    </w:p>
    <w:p>
      <w:r>
        <w:rPr>
          <w:color w:val="555555"/>
          <w:sz w:val="17"/>
        </w:rPr>
        <w:t xml:space="preserve">Zitiervorschlag: § 11 VO-ID212723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https://recht.nulegal.eu/gesetze/VO-ID212723/11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