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VO-ID212721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„Krayner Teiche/Lutzketal“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Pflege-, Entwicklungs- und Wiederherstellungsmaßnahmen werden als Zielvorgabe benannt:</w:t>
      </w:r>
    </w:p>
    <w:p>
      <w:r>
        <w:t xml:space="preserve">zur Stabilisierung des Landschaftswasserhaushalts soll der Wasserrückhalt im Gebiet verbessert werden;</w:t>
      </w:r>
    </w:p>
    <w:p>
      <w:r>
        <w:t xml:space="preserve">die Grünlandflächen sollen frühestens ab dem 1. Juni eines jeden Jahres und vorrangig als Mähwiesen genutzt werden;</w:t>
      </w:r>
    </w:p>
    <w:p>
      <w:r>
        <w:t xml:space="preserve">kleinflächig unbestockte Flächen mit schutzwürdigen Biotopen (Orchideenwiesen, Trockenrasen) sollen durch Pflegemaßnahmen offen gehalten werden; die Gehölzsukzession soll in diesen Bereichen entnommen werden;</w:t>
      </w:r>
    </w:p>
    <w:p>
      <w:r>
        <w:t xml:space="preserve">die Ackerflächen bei Grano sollen in Grünland umgewandelt und extensiv genutzt werden;</w:t>
      </w:r>
    </w:p>
    <w:p>
      <w:r>
        <w:t xml:space="preserve">die Nadelbaumbestockung im nördlichen Teil des Lutzketals soll zu einem naturnahen Wald entwickelt werden;</w:t>
      </w:r>
    </w:p>
    <w:p>
      <w:r>
        <w:t xml:space="preserve">innerhalb der Wald- und Forstflächen sollen mindestens fünf Stämme (Biotop-, Horst-, Höhlenbäume) je Hektar bis zum Absterben und Zerfall aus der Nutzung genommen werden;</w:t>
      </w:r>
    </w:p>
    <w:p>
      <w:r>
        <w:t xml:space="preserve">in den Wald- und Forstflächen sollen in der Zeit vom 15. März bis zum 31. Juli eines jeden Jahres keine Fällarbeiten durchgeführt werden;</w:t>
      </w:r>
    </w:p>
    <w:p>
      <w:r>
        <w:t xml:space="preserve">für die Bewirtschaftung der Teiche:</w:t>
      </w:r>
    </w:p>
    <w:p>
      <w:r>
        <w:t xml:space="preserve">der Besatz mit Teichfischen im Speicherbecken und in den Kupfermühlenteichen soll auf einen Zielertrag von maximal 200 Kilogramm Abfischung pro Hektar Teichfläche oder die Produktion einsömmriger Fische ausgerichtet sein,</w:t>
      </w:r>
    </w:p>
    <w:p>
      <w:r>
        <w:t xml:space="preserve">durch technische Umrüstung der Ablasseinrichtungen und allmähliches Ablassen der Fischteiche soll eine Belastung der unterhalb anschließenden Fließgewässerabschnitte mit Schwebstoffen minimiert werden,</w:t>
      </w:r>
    </w:p>
    <w:p>
      <w:r>
        <w:t xml:space="preserve">für die Teiche soll ein Bewirtschaftungsplan erstellt werden, der folgende Mindestangaben enthält: Besatz nach Arten und Altersklassen, Bespannungszeiträume, Düngung, Maßnahmen zur Verhinderung der Teichverlandung nach Umfang und Zeitpunkt, Teichpflege- und Sanierungsmaßnahmen jeweils nach Art, Umfang und Zeitpunkt;</w:t>
      </w:r>
    </w:p>
    <w:p>
      <w:r>
        <w:t xml:space="preserve">Moorstandorte sollen durch geeignete Maßnahmen des Wasserrückhalts vernässt werden; die moortypische Vegetation soll gegebenenfalls durch zusätzliche Pflegemaßnahmen gefördert werden.</w:t>
      </w:r>
    </w:p>
    <w:p>
      <w:r>
        <w:rPr>
          <w:color w:val="555555"/>
          <w:sz w:val="17"/>
        </w:rPr>
        <w:t xml:space="preserve">Zitiervorschlag: § 6 VO-ID212721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https://recht.nulegal.eu/gesetze/VO-ID212721/6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