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VO-ID212721 (Brandenburg) — Verbote</w:t>
      </w:r>
    </w:p>
    <w:p>
      <w:r>
        <w:rPr>
          <w:color w:val="555555"/>
          <w:sz w:val="18"/>
        </w:rPr>
        <w:t xml:space="preserve">Verordnung über das Naturschutzgebiet „Krayner Teiche/Lutzketal“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23 Absatz 2 des Bundesnaturschutzgesetzes alle Handlungen verboten, die das Gebiet oder seine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 ausgenommen ist das Betreten außerhalb der Moore, Feuchtgebiete, Bruchwälder, Röhrichte, Nass- und Feuchtwiesen sowie des Talbereichs der Lutzke zum Zweck der Erholung sowie des nichtgewerblichen Sammelns von Pilzen und Wildfrüchten gemäß § 5 Absatz 1 Nummer 14 jeweils nach dem 30. Juni eines jeden Jahres;</w:t>
      </w:r>
    </w:p>
    <w:p>
      <w:r>
        <w:t xml:space="preserve">außerhalb der dem öffentlichen Verkehr gewidmeten Straßen und Wege sowie außerhalb von Wegen, die von zwei- oder mehrspurigen Fahrzeugen befahren werden können, zu reiten;</w:t>
      </w:r>
    </w:p>
    <w:p>
      <w:r>
        <w:t xml:space="preserve">mit Kraftfahrzeugen außerhalb der dem öffentlichen Verkehr gewidmeten Straßen und Wege zu fahren oder Fahrzeuge dort abzustellen, zu warten oder zu pflegen;</w:t>
      </w:r>
    </w:p>
    <w:p>
      <w:r>
        <w:t xml:space="preserve">zu baden oder zu tauchen;</w:t>
      </w:r>
    </w:p>
    <w:p>
      <w:r>
        <w:t xml:space="preserve">Wasserfahrzeuge aller Art einschließlich Surfbretter oder Luftmatratzen zu benutzen;</w:t>
      </w:r>
    </w:p>
    <w:p>
      <w:r>
        <w:t xml:space="preserve">Modellsport oder ferngesteuerte Modelle zu betreiben oder feste Einrichtungen dafür bereitzuhalten;</w:t>
      </w:r>
    </w:p>
    <w:p>
      <w:r>
        <w:t xml:space="preserve">Hunde frei laufen zu lassen;</w:t>
      </w:r>
    </w:p>
    <w:p>
      <w:r>
        <w:t xml:space="preserve">Entwässerungsmaßnahmen über den bisherigen Umfang hinaus durchzuführen, Gewässer jeder Art entgegen dem Schutzzweck zu verändern oder in anderer Weise den Wasserhaushalt des Gebietes zu beeinträchtigen;</w:t>
      </w:r>
    </w:p>
    <w:p>
      <w:r>
        <w:t xml:space="preserve">Düngemittel einschließlich Wirtschaftsdünger (zum Beispiel Gülle), Rückstände aus Biogasanlagen und Sekundärrohstoffdünger (wie zum Beispiel solche aus Abwasser, Klärschlamm und Bioabfällen) zum Zweck der Düngung einzusetzen sowie Abwasser zu sonstigen Zwecken zu lagern, auf- oder auszubringen oder einzuleiten;</w:t>
      </w:r>
    </w:p>
    <w:p>
      <w:r>
        <w:t xml:space="preserve">sonstige Abfälle im Sinne des Kreislaufwirtschafts- und Abfallgesetzes oder sonstige Materialien wie zum Beispiel Gärfutter zu lagern oder sie zu entsorgen;</w:t>
      </w:r>
    </w:p>
    <w:p>
      <w:r>
        <w:t xml:space="preserve">Tiere zu füttern oder Futter bereitzustellen;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nachzusäen, umzubrechen oder neu anzusäen.</w:t>
      </w:r>
    </w:p>
    <w:p>
      <w:r>
        <w:rPr>
          <w:color w:val="555555"/>
          <w:sz w:val="17"/>
        </w:rPr>
        <w:t xml:space="preserve">Zitiervorschlag: § 4 VO-ID212721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https://recht.nulegal.eu/gesetze/VO-ID212721/4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