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VO-ID212721 (Brandenburg) — Schutzzweck</w:t>
      </w:r>
    </w:p>
    <w:p>
      <w:r>
        <w:rPr>
          <w:color w:val="555555"/>
          <w:sz w:val="18"/>
        </w:rPr>
        <w:t xml:space="preserve">Verordnung über das Naturschutzgebiet „Krayner Teiche/Lutzketal“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als ein struktur- und artenreicher Biotopkomplex innerhalb des Gubener Landes ist</w:t>
      </w:r>
    </w:p>
    <w:p>
      <w:r>
        <w:t xml:space="preserve">die Erhaltung, Entwicklung und Wiederherstellung der Lebensstätten wild lebender Pflanzengesellschaften, insbesondere der naturnahen Wälder, der Moore, der Frisch-, Feucht- und Nasswiesen, der Hochstaudenfluren, der Großseggenriede, der Fließ- und Stillgewässer und der Trockenlebensräume;</w:t>
      </w:r>
    </w:p>
    <w:p>
      <w:r>
        <w:t xml:space="preserve">die Erhaltung und Entwicklung der Lebensstätten wild lebender Pflanzenarten, darunter im Sinne von § 7 Absatz 2 Nummer 13 des Bundesnaturschutzgesetzes besonders geschützte Arten, insbesondere Mondraute (Botrychium lunaria), Kartäuser-Nelke (Dianthus carthusianorum), Sumpf-Herzblatt (Parnassia palustris), Langblättriger Sonnentau (Drosera anglica), Langblättriges Waldvögelein (Cephalantera longifolia) und Steifblättriges Knabenkraut (Dactylorhiza incarnata);</w:t>
      </w:r>
    </w:p>
    <w:p>
      <w:r>
        <w:t xml:space="preserve">die Erhaltung und Entwicklung des Gebietes als Lebens- und Rückzugsraum sowie potenzielles Wiederausbreitungszentrum wild lebender Tierarten, insbesondere der Vögel, Amphibien, Reptilien und Wirbellosen, darunter im Sinne von § 7 Absatz 2 Nummer 13 und 14 des Bundesnaturschutzgesetzes besonders und streng geschützte Arten, insbesondere Fischadler (Pandion haliaetus), Seeadler (Haliaeetus albicilla), Kranich (Grus grus), Schwarzmilan (Milvus migrans), Drosselrohrsänger (Acrocephalus arundinaceus), Eisvogel (Alcedo atthis), Zauneidechse (Lacerta agilis), Schwalbenschwanz (Papilio machaon) und Grüne Mosaikjungfer (Aeshna viridis);</w:t>
      </w:r>
    </w:p>
    <w:p>
      <w:r>
        <w:t xml:space="preserve">die Erhaltung und Entwicklung der Gewässer als Rast- und Überwinterungshabitate für Kraniche, Schwäne, Taucher und Enten, insbesondere Schellenten;</w:t>
      </w:r>
    </w:p>
    <w:p>
      <w:r>
        <w:t xml:space="preserve">die Erhaltung des Lutzketals mit natürlichen Bachmäandern in einem durch steile Hänge gekennzeichneten Kerbtal aus wissenschaftlichen Gründen;</w:t>
      </w:r>
    </w:p>
    <w:p>
      <w:r>
        <w:t xml:space="preserve">die Erhaltung und Entwicklung des Gebietes als wesentlicher Teil des regionalen Biotopverbundes zwischen Oder/Neißetal, Lieberoser Hochfläche und Spreewald.</w:t>
      </w:r>
    </w:p>
    <w:p>
      <w:r>
        <w:t xml:space="preserve">(2) Die Unterschutzstellung dient der Erhaltung und Entwicklung des Gebietes von gemeinschaftlicher Bedeutung „Krayner Teiche/Lutzketal“ (§ 7 Absatz 1 Nummer 6 des Bundesnaturschutzgesetzes) mit seinen Vorkommen von</w:t>
      </w:r>
    </w:p>
    <w:p>
      <w:r>
        <w:t xml:space="preserve">Oligo- bis mesotrophen kalkhaltigen Gewässern mit benthischer Vegetation aus Armleuchteralgen, Natürlichen eutrophen Seen mit einer Vegetation des Magnopotamions oder Hydrocharitions, Flüssen der planaren bis montanen Stufe mit Vegetation des Ranunculion fluitantis und des Callitricho-Batrachion, Pfeifengraswiesen auf kalkreichem Boden, Feuchten Hochstaudenfluren der planaren und montanen bis alpinen Stufe, Mageren Flachland-Mähwiesen (Alopecurus pratensis [Wiesen-Fuchsschwanz], Sanguisorba officinalis [Großer Wiesenknopf]), Übergangs- und Schwingrasenmooren, Torfmoor-Schlenken, Subatlantischem oder mitteleuropäischem Stieleichenwald oder Hainbuchenwald (Carpinion betuli) (Stellario-Carpinetum), Alten bodensauren Eichenwäldern auf Sandebenen mit Quercus robur als Biotope von gemeinschaftlichem Interesse („natürliche Lebensraumtypen“ im Sinne des Anhangs I der Richtlinie 92/43/EWG);</w:t>
      </w:r>
    </w:p>
    <w:p>
      <w:r>
        <w:t xml:space="preserve">trockenen, kalkreichen Sandrasen, naturnahen Kalk-Trockenrasen und deren Verbuschungsstadien (Festuco-Brometalia) und Auen-Wäldern mit Alnus glutinosa (Schwarz-Erle) als prioritäre Biotope („prioritäre Lebensraumtypen“ im Sinne des Anhangs I der Richtlinie 92/43/EWG);</w:t>
      </w:r>
    </w:p>
    <w:p>
      <w:r>
        <w:t xml:space="preserve">Biber (Castor fiber), Fischotter (Lutra lutra), Kamm-Molch (Triturus cristatus) und Bauchiger Windelschnecke (Vertigo moulinsiana) als Tierarten von gemeinschaftlichem Interesse (im Sinne des Anhangs II der Richtlinie 92/43/EWG) einschließlich ihrer für Fortpflanzung, Ernährung, Wanderung und Überwinterung wichtigen Lebensräume.</w:t>
      </w:r>
    </w:p>
    <w:p>
      <w:r>
        <w:rPr>
          <w:color w:val="555555"/>
          <w:sz w:val="17"/>
        </w:rPr>
        <w:t xml:space="preserve">Zitiervorschlag: § 3 VO-ID212721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https://recht.nulegal.eu/gesetze/VO-ID212721/3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