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VO-ID212711 (Brandenburg) — Inkrafttreten</w:t>
      </w:r>
    </w:p>
    <w:p>
      <w:r>
        <w:rPr>
          <w:color w:val="555555"/>
          <w:sz w:val="18"/>
        </w:rPr>
        <w:t xml:space="preserve">Verordnung über Zuständigkeiten bei der Strafvollstreckung im Verhältnis der Staatsanwaltschaft Frankfurt (Oder) zur Staatsanwaltschaft Neuruppin und der Staatsanwaltschaft Potsdam zur Staatsanwaltschaft Cottbus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01.Januar 2013 in Kraft.</w:t>
      </w:r>
    </w:p>
    <w:p>
      <w:r>
        <w:t xml:space="preserve">Potsdam, den 14. Dezember 2012</w:t>
      </w:r>
    </w:p>
    <w:p>
      <w:r>
        <w:t xml:space="preserve">Der Minister der Justiz</w:t>
      </w:r>
    </w:p>
    <w:p>
      <w:r>
        <w:t xml:space="preserve">Dr. Volkmar Schöneburg</w:t>
      </w:r>
    </w:p>
    <w:p>
      <w:r>
        <w:rPr>
          <w:color w:val="555555"/>
          <w:sz w:val="17"/>
        </w:rPr>
        <w:t xml:space="preserve">Zitiervorschlag: § 2 VO-ID212711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https://recht.nulegal.eu/gesetze/VO-ID212711/2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