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VO-ID212696 (Brandenburg) — Inkrafttreten</w:t>
      </w:r>
    </w:p>
    <w:p>
      <w:r>
        <w:rPr>
          <w:color w:val="555555"/>
          <w:sz w:val="18"/>
        </w:rPr>
        <w:t xml:space="preserve">Verordnung über Fischereibeiräte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14. Juli 1994</w:t>
      </w:r>
    </w:p>
    <w:p>
      <w:r>
        <w:t xml:space="preserve">Der Minister für Ernährung, Landwirtschaft und Forsten</w:t>
      </w:r>
    </w:p>
    <w:p>
      <w:r>
        <w:t xml:space="preserve">In Vertretung</w:t>
      </w:r>
    </w:p>
    <w:p>
      <w:r>
        <w:t xml:space="preserve">Günther Wegge</w:t>
      </w:r>
    </w:p>
    <w:p>
      <w:r>
        <w:rPr>
          <w:color w:val="555555"/>
          <w:sz w:val="17"/>
        </w:rPr>
        <w:t xml:space="preserve">Zitiervorschlag: § 6 VO-ID212696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https://recht.nulegal.eu/gesetze/VO-ID212696/6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VO-ID212696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