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VO-ID212696 (Brandenburg) — Geschäftsordnung</w:t>
      </w:r>
    </w:p>
    <w:p>
      <w:r>
        <w:rPr>
          <w:color w:val="555555"/>
          <w:sz w:val="18"/>
        </w:rPr>
        <w:t xml:space="preserve">Verordnung über Fischereibeiräte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Fischereibeirat gibt sich eine Geschäftsordnung, die der Genehmigung der zuständigen Fischereibehörde bedarf.</w:t>
      </w:r>
    </w:p>
    <w:p>
      <w:r>
        <w:rPr>
          <w:color w:val="555555"/>
          <w:sz w:val="17"/>
        </w:rPr>
        <w:t xml:space="preserve">Zitiervorschlag: § 5 VO-ID212696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