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VO-ID212696 (Brandenburg) — Bildung der Fischereibeiräte</w:t>
      </w:r>
    </w:p>
    <w:p>
      <w:r>
        <w:rPr>
          <w:color w:val="555555"/>
          <w:sz w:val="18"/>
        </w:rPr>
        <w:t xml:space="preserve">Verordnung über Fischereibeiräte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Zur Bildung des Landesfischereibeirates beruft die oberste Fischereibehörde für die Dauer von jeweils fünf Jahren</w:t>
      </w:r>
    </w:p>
    <w:p>
      <w:r>
        <w:t xml:space="preserve">zwei Vertreter der Fischereiberechtigten,</w:t>
      </w:r>
    </w:p>
    <w:p>
      <w:r>
        <w:t xml:space="preserve">einen Teichwirt und einen Seen- und Flußfischer als Vertreter der Erwerbsfischer,</w:t>
      </w:r>
    </w:p>
    <w:p>
      <w:r>
        <w:t xml:space="preserve">zwei Vertreter der Angelfischer,</w:t>
      </w:r>
    </w:p>
    <w:p>
      <w:r>
        <w:t xml:space="preserve">einen Vertreter der Landwirtschaft,</w:t>
      </w:r>
    </w:p>
    <w:p>
      <w:r>
        <w:t xml:space="preserve">einen Vertreter der Forstwirtschaft,</w:t>
      </w:r>
    </w:p>
    <w:p>
      <w:r>
        <w:t xml:space="preserve">einen Vertreter des Veterinärwesens,</w:t>
      </w:r>
    </w:p>
    <w:p>
      <w:r>
        <w:t xml:space="preserve">einen Vertreter der Wasserwirtschaft,</w:t>
      </w:r>
    </w:p>
    <w:p>
      <w:r>
        <w:t xml:space="preserve">einen Vertreter der Fischereiwissenschaft,</w:t>
      </w:r>
    </w:p>
    <w:p>
      <w:r>
        <w:t xml:space="preserve">einen Vertreter einer nach § 3 des Umwelt-Rechtsbehelfsgesetzes von der obersten Naturschutzbehörde anerkannten Naturschutzvereinigung, die nach ihrer Satzung landesweit tätig ist.</w:t>
      </w:r>
    </w:p>
    <w:p>
      <w:r>
        <w:t xml:space="preserve">(2) Die Vertreter nach Absatz 1 Buchstabe c und i können nach Ablauf eines Jahres auf Veranlassung der vorschlagenden Interessenverbände und rechtsfähigen Vereinigungen nach dem Rotationsprinzip wechseln.</w:t>
      </w:r>
    </w:p>
    <w:p>
      <w:r>
        <w:t xml:space="preserve">(3) Für die Bildung von Fischereibeiräten bei den unteren Fischereibehörden gelten die Bestimmungen der Absätze 1 und 2 entsprechend.</w:t>
      </w:r>
    </w:p>
    <w:p>
      <w:r>
        <w:rPr>
          <w:color w:val="555555"/>
          <w:sz w:val="17"/>
        </w:rPr>
        <w:t xml:space="preserve">Zitiervorschlag: § 1 VO-ID212696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https://recht.nulegal.eu/gesetze/VO-ID212696/1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VO-ID212696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