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VO-ID212686 (Brandenburg) — Zulässige Handlungen</w:t>
      </w:r>
    </w:p>
    <w:p>
      <w:r>
        <w:rPr>
          <w:color w:val="555555"/>
          <w:sz w:val="18"/>
        </w:rPr>
        <w:t xml:space="preserve">Verordnung über das Naturschutzgebiet „Teufelssee bei Sperenberg“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bleiben folgende Handlungen:</w:t>
      </w:r>
    </w:p>
    <w:p>
      <w:r>
        <w:t xml:space="preserve">die dem in § 5 Absatz 3 des Bundesnaturschutzgesetzes genannten Ziel entsprechende forstwirtschaftliche Bodennutzung auf den bisher rechtmäßig dafür genutzten Flächen mit der Maßgabe, dass</w:t>
      </w:r>
    </w:p>
    <w:p>
      <w:r>
        <w:t xml:space="preserve">ine Nutzung nur einzelstamm- bis truppweise erfolgt,</w:t>
      </w:r>
    </w:p>
    <w:p>
      <w:r>
        <w:t xml:space="preserve">auf Mooren und in Moorwäldern keine forstwirtschaftlichen Maßnahmen erfolgen, in den übrigen Waldflächen nur Arten der potenziellen natürlichen Vegetation eingebracht werden dürfen, wobei nur heimische Baumarten unter Ausschluss eingebürgerter Arten zu verwenden sind,</w:t>
      </w:r>
    </w:p>
    <w:p>
      <w:r>
        <w:t xml:space="preserve">ein Altholzanteil von mindestens 10 Prozent des aktuellen Bestandesvorrates zu sichern ist, wobei mindestens fünf Stämme Altholz je Hektar mit einem Mindestdurchmesser von 30 Zentimetern in 1,30 Meter Höhe über dem Stammfuß aus der Nutzung zu nehmen und dauerhaft zu markieren sind, in Jungbeständen ist ein solcher Altholzanteil zu entwickeln,</w:t>
      </w:r>
    </w:p>
    <w:p>
      <w:r>
        <w:t xml:space="preserve">je Hektar mindestens fünf Stück stehendes Totholz mit einem Durchmesser von mehr als 30 Zentimetern in 1,30 Meter Höhe über dem Stammfuß nicht gefällt werden sowie liegendes Totholz im Bestand verbleibt,</w:t>
      </w:r>
    </w:p>
    <w:p>
      <w:r>
        <w:t xml:space="preserve">Horstbäume und Höhlenbäume nicht gefällt werden,</w:t>
      </w:r>
    </w:p>
    <w:p>
      <w:r>
        <w:t xml:space="preserve">§ 4 Absatz 2 Nummer 17 und 23 gilt;</w:t>
      </w:r>
    </w:p>
    <w:p>
      <w:r>
        <w:t xml:space="preserve">für den Bereich der Jagd:</w:t>
      </w:r>
    </w:p>
    <w:p>
      <w:r>
        <w:t xml:space="preserve">die rechtmäßige Ausübung der Jagd außerhalb der Übergangs- und Schwingrasenmoorflächen,</w:t>
      </w:r>
    </w:p>
    <w:p>
      <w:r>
        <w:t xml:space="preserve">die Errichtung ortsunveränderlicher jagdlicher Einrichtungen zur Ansitzjagd mit Zustimmung der unteren Naturschutzbehörde. Die Zustimmung ist zu erteilen, wenn der Schutzzweck nicht beeinträchtigt wird.</w:t>
      </w:r>
    </w:p>
    <w:p>
      <w:r>
        <w:t xml:space="preserve">Transportable und mobile Ansitzeinrichtungen sind der unteren Naturschutzbehörde vor der Aufstellung anzuzeigen. Die untere Naturschutzbehörde kann in begründeten Einzelfällen das Aufstellen verbieten. Die Entscheidung hierüber soll unverzüglich erfolgen.</w:t>
      </w:r>
    </w:p>
    <w:p>
      <w:r>
        <w:t xml:space="preserve">Ablenkfütterungen sowie die Anlage von Ansaatwildwiesen und Wildäckern sind unzulässig, im Übrigen bleiben jagdrechtliche Regelungen nach § 41 des Brandenburgischen Jagdgesetzes unberührt;</w:t>
      </w:r>
    </w:p>
    <w:p>
      <w:r>
        <w:t xml:space="preserve">die im Sinne des § 10 des Brandenburgischen Straßengesetzes ordnungsgemäße Unterhaltung der dem öffentlichen Verkehr gewidmeten Straßen und Wege sowie die ordnungsgemäße Unterhaltung sonstiger rechtmäßig bestehender Anlagen, sofern sie nicht unter die Nummer 5 fallen, jeweils im Einvernehmen mit der unteren Naturschutzbehörde;</w:t>
      </w:r>
    </w:p>
    <w:p>
      <w:r>
        <w:t xml:space="preserve">die im Sinne des § 39 des Wasserhaushaltsgesetzes und des § 78 des Brandenburgischen Wassergesetzes ordnungsgemäße Unterhaltung der Gewässer, soweit sie den in § 3 aufgeführten Schutzgütern nicht entgegensteht. Die Maßnahmen können durch einen abgestimmten Unterhaltungsplan dokumentiert werden;</w:t>
      </w:r>
    </w:p>
    <w:p>
      <w:r>
        <w:t xml:space="preserve">der Betrieb von Messanlagen (Pegel-, Abfluss- und andere Messstellen) und von sonstigen wasserwirtschaftlichen Anlagen in der bisherigen Art und im bisherigen Umfang. Die ordnungsgemäße Unterhaltung dieser Anlagen bleibt im Einvernehmen mit der unteren Naturschutzbehörde zulässig; das Einvernehmen über regelmäßig wiederkehrende Unterhaltungsarbeiten kann durch langfristig gültige Vereinbarungen hergestellt werden;</w:t>
      </w:r>
    </w:p>
    <w:p>
      <w:r>
        <w:t xml:space="preserve">die sonstigen bei Inkrafttreten dieser Verordnung auf Grund behördlicher Einzelfallentscheidung rechtmäßig ausgeübten Nutzungen und Befugnisse in der bisherigen Art und im bisherigen Umfang;</w:t>
      </w:r>
    </w:p>
    <w:p>
      <w:r>
        <w:t xml:space="preserve">Maßnahmen zur Untersuchung von altlastverdächtigen Flächen und Verdachtsflächen sowie Maßnahmen der Altlastensanierung und der Sanierung schädlicher Bodenveränderungen gemäß Bundes-Bodenschutzgesetz sowie Maßnahmen der Munitionsräumung im Einvernehmen mit der unteren Naturschutzbehörde;</w:t>
      </w:r>
    </w:p>
    <w:p>
      <w:r>
        <w:t xml:space="preserve">Schutz-, Pflege- und Entwicklungsmaßnahmen, die von der unteren Naturschutzbehörde zugelassen oder angeordnet worden sind;</w:t>
      </w:r>
    </w:p>
    <w:p>
      <w:r>
        <w:t xml:space="preserve">erforderliche Hegemaßnahmen gemäß § 1 der Fischereiordnung des Landes Brandenburg im Sinne einer Fischbestandskontrolle, -regulierung und -förderung mit Zustimmung der unteren Naturschutzbehörde. Die Zustimmung ist zu erteilen, wenn der Schutzzweck nicht beeinträchtigt wird. Die fischereiwirtschaftliche Flächennutzung sowie die Ausübung der Angelfischerei bleiben unzulässig;</w:t>
      </w:r>
    </w:p>
    <w:p>
      <w:r>
        <w:t xml:space="preserve">behördliche sowie behördlich angeordnete oder zugelassene Beschilderungen, soweit sie auf den Schutzzweck des Gebietes hinweisen oder als hoheitliche Kennzeichnungen, Orts- oder Verkehrshinweise, Wegemarkierungen oder Warntafeln dienen;</w:t>
      </w:r>
    </w:p>
    <w:p>
      <w:r>
        <w:t xml:space="preserve">Maßnahmen, die der Abwehr einer unmittelbar drohenden Gefahr für die öffentliche Sicherheit und Ordnung dienen. Die untere Naturschutzbehörde ist über die getroffenen Maßnahmen unverzüglich zu unterrichten. Sie kann nachträglich ergänzende Anordnungen zur Vereinbarkeit mit dem Schutzzweck treffen.</w:t>
      </w:r>
    </w:p>
    <w:p>
      <w:r>
        <w:t xml:space="preserve">(2) Die in § 4 für das Betreten und Befahren des Naturschutzgebietes enthaltenen Einschränkungen gelten nicht für die Dienstkräfte der Naturschutzbehörden, die zuständigen Naturschutzhelfer und sonstige von den Naturschutzbehörden beauftragte Personen sowie für Dienstkräfte und beauftragte Personen anderer zuständiger Behörden und Einrichtungen, soweit diese in Wahrnehmung ihrer gesetzlichen Aufgaben handeln. Sie gelten unbeschadet anderer Regelungen weiterhin nicht für Eigentümer zur Durchführung von Maßnahmen zur Sicherung des Bestandes und der zulässigen Nutzung des Eigentums sowie für das Betreten und Befahren, soweit dies zur Ausübung der nach Absatz 1 zulässigen Handlungen erforderlich ist. Das Gestattungserfordernis nach § 16 Absatz 2 des Waldgesetzes des Landes Brandenburg bleibt unberührt.</w:t>
      </w:r>
    </w:p>
    <w:p>
      <w:r>
        <w:rPr>
          <w:color w:val="555555"/>
          <w:sz w:val="17"/>
        </w:rPr>
        <w:t xml:space="preserve">Zitiervorschlag: § 5 VO-ID212686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https://recht.nulegal.eu/gesetze/VO-ID212686/5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VO-ID212686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