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VO-ID212686 (Brandenburg) — Schutzzweck</w:t>
      </w:r>
    </w:p>
    <w:p>
      <w:r>
        <w:rPr>
          <w:color w:val="555555"/>
          <w:sz w:val="18"/>
        </w:rPr>
        <w:t xml:space="preserve">Verordnung über das Naturschutzgebiet „Teufelssee bei Sperenberg“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Schutzzweck des Naturschutzgebietes, das eine vermoorte Senke mit umgebenden Trockenstandorten in der nördlichen Luckenwalder Heide bei Sperenberg umfasst, ist</w:t>
      </w:r>
    </w:p>
    <w:p>
      <w:r>
        <w:t xml:space="preserve">die Erhaltung und Entwicklung der Lebensstätten wild lebender Pflanzengesellschaften, insbesondere der Moore und angrenzender Bruch- und Moorwälder sowie der trockenen Offenlandfluren;</w:t>
      </w:r>
    </w:p>
    <w:p>
      <w:r>
        <w:t xml:space="preserve">die Erhaltung und Entwicklung der Lebensstätten wild lebender Pflanzenarten, darunter im Sinne von § 7 Absatz 2 Nummer 13 des Bundesnaturschutzgesetzes besonders geschützte Arten, insbesondere Sumpfporst (Ledum palustre), Sumpf-Schlangenwurz (Calla palustris), Rundblättriger Sonnentau (Drosera rotundifolia), Sumpf-Schwertlilie (Iris pseudacorus), Fieberklee (Menyanthes trifoliata), Krebsschere (Stratiotes aloides) und Sand-Strohblume (Helichrysum arenarium);</w:t>
      </w:r>
    </w:p>
    <w:p>
      <w:r>
        <w:t xml:space="preserve">die Erhaltung und Entwicklung des Gebietes als Lebens- und Rückzugsraum sowie potenzielles Wiederausbreitungszentrum wild lebender Tierarten, insbesondere der Amphibien und Reptilien sowie der Libellen, darunter im Sinne von § 7 Absatz 2 Nummer 13 und 14 des Bundesnaturschutzgesetzes besonders und streng geschützte Arten, insbesondere Glattnatter (Coronella austriaca), Ringelnatter (Natrix natrix), Zauneidechse (Lacerta agilis), Knoblauchkröte (Pelobates fuscus), Moorfrosch (Rana arvalis), Grüne Mosaikjungfer (Aeshna viridis), Keilfleck-Mosaikjungfer (Aeshna isosceles) und Schwarze Heidelibelle (Sympetrum danae);</w:t>
      </w:r>
    </w:p>
    <w:p>
      <w:r>
        <w:t xml:space="preserve">die Erhaltung des Teufelssees als eines der ältesten Naturschutzgebiete der Region aus naturgeschichtlichen und landeskundlichen Gründen;</w:t>
      </w:r>
    </w:p>
    <w:p>
      <w:r>
        <w:t xml:space="preserve">die Erhaltung der vermoorten Senke mit den umgebenden Moor- und Bruchwäldern wegen ihrer Seltenheit, Vielfalt, besonderen Eigenart und Schönheit;</w:t>
      </w:r>
    </w:p>
    <w:p>
      <w:r>
        <w:t xml:space="preserve">die Erhaltung und Entwicklung des Gebietes als Teil des Biotopverbundes zwischen der Nuthe-Notte-Niederung und dem Baruther Urstromtal sowie als Trittsteinbiotop innerhalb der Luckenwalder Heide.</w:t>
      </w:r>
    </w:p>
    <w:p>
      <w:r>
        <w:t xml:space="preserve">(2) Die Unterschutzstellung dient der Erhaltung und Entwicklung des Gebietes von gemeinschaftlicher Bedeutung „Teufelssee“ (§ 7 Absatz 1 Nummer 6 des Bundesnaturschutzgesetzes) mit seinem Vorkommen von</w:t>
      </w:r>
    </w:p>
    <w:p>
      <w:r>
        <w:t xml:space="preserve">dystrophen Seen und Teichen sowie Übergangs- und Schwingrasenmooren als Biotope von gemeinschaftlichem Interesse („natürliche Lebensraumtypen“ im Sinne des Anhangs I der Richtlinie 92/43/EWG);</w:t>
      </w:r>
    </w:p>
    <w:p>
      <w:r>
        <w:t xml:space="preserve">Moorwäldern als prioritärer Biotop („prioritärer Lebensraumtyp“ im Sinne des Anhangs I der Richtlinie 92/43/EWG).</w:t>
      </w:r>
    </w:p>
    <w:p>
      <w:r>
        <w:rPr>
          <w:color w:val="555555"/>
          <w:sz w:val="17"/>
        </w:rPr>
        <w:t xml:space="preserve">Zitiervorschlag: § 3 VO-ID212686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https://recht.nulegal.eu/gesetze/VO-ID212686/3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