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VO-ID212686 (Brandenburg) — Geltendmachen von Rechtsmängeln</w:t>
      </w:r>
    </w:p>
    <w:p>
      <w:r>
        <w:rPr>
          <w:color w:val="555555"/>
          <w:sz w:val="18"/>
        </w:rPr>
        <w:t xml:space="preserve">Verordnung über das Naturschutzgebiet „Teufelssee bei Sperenberg“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28 des Brandenburgischen Naturschutzgesetzes genannten Verfahrens- und Formvorschriften kann gegen diese Verordnung nur innerhalb eines Jahres nach ihrem Inkrafttreten schriftlich unter Angabe der verletzten Rechtsvorschrift und des Sachverhalts, der die Verletzung begründen soll, gegenüber dem für Naturschutz und Landschaftspflege zuständigen Fachministerium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rPr>
          <w:color w:val="555555"/>
          <w:sz w:val="17"/>
        </w:rPr>
        <w:t xml:space="preserve">Zitiervorschlag: § 10 VO-ID212686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https://recht.nulegal.eu/gesetze/VO-ID212686/10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